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BD1" w:rsidRPr="00B02998" w:rsidRDefault="00650BD1" w:rsidP="00650BD1">
      <w:pPr>
        <w:pStyle w:val="Corpodeltesto2"/>
        <w:jc w:val="both"/>
        <w:rPr>
          <w:rFonts w:ascii="Arial" w:hAnsi="Arial" w:cs="Arial"/>
          <w:bCs w:val="0"/>
          <w:sz w:val="22"/>
          <w:szCs w:val="22"/>
        </w:rPr>
      </w:pPr>
      <w:r w:rsidRPr="00B02998">
        <w:rPr>
          <w:rFonts w:ascii="Arial" w:hAnsi="Arial" w:cs="Arial"/>
          <w:bCs w:val="0"/>
          <w:sz w:val="22"/>
          <w:szCs w:val="22"/>
        </w:rPr>
        <w:t>RICHIAMATE:</w:t>
      </w:r>
    </w:p>
    <w:p w:rsidR="00650BD1" w:rsidRPr="00B02998" w:rsidRDefault="00650BD1" w:rsidP="00650BD1">
      <w:pPr>
        <w:pStyle w:val="Corpodeltesto2"/>
        <w:numPr>
          <w:ilvl w:val="0"/>
          <w:numId w:val="1"/>
        </w:numPr>
        <w:jc w:val="both"/>
        <w:rPr>
          <w:rFonts w:ascii="Arial" w:hAnsi="Arial" w:cs="Arial"/>
          <w:b w:val="0"/>
          <w:sz w:val="22"/>
          <w:szCs w:val="22"/>
        </w:rPr>
      </w:pPr>
      <w:proofErr w:type="gramStart"/>
      <w:r w:rsidRPr="00B02998">
        <w:rPr>
          <w:rFonts w:ascii="Arial" w:hAnsi="Arial" w:cs="Arial"/>
          <w:b w:val="0"/>
          <w:bCs w:val="0"/>
          <w:sz w:val="22"/>
          <w:szCs w:val="22"/>
        </w:rPr>
        <w:t>la</w:t>
      </w:r>
      <w:proofErr w:type="gramEnd"/>
      <w:r w:rsidRPr="00B02998">
        <w:rPr>
          <w:rFonts w:ascii="Arial" w:hAnsi="Arial" w:cs="Arial"/>
          <w:b w:val="0"/>
          <w:bCs w:val="0"/>
          <w:sz w:val="22"/>
          <w:szCs w:val="22"/>
        </w:rPr>
        <w:t xml:space="preserve"> L.R. 64/1998 di istituzione dell’A.R.T.A. – Agenzia Regionale per la Tutela dell’Ambiente;</w:t>
      </w:r>
    </w:p>
    <w:p w:rsidR="00650BD1" w:rsidRPr="00B02998" w:rsidRDefault="00650BD1" w:rsidP="00650BD1">
      <w:pPr>
        <w:pStyle w:val="Corpodeltesto2"/>
        <w:numPr>
          <w:ilvl w:val="0"/>
          <w:numId w:val="1"/>
        </w:numPr>
        <w:jc w:val="both"/>
        <w:rPr>
          <w:rFonts w:ascii="Arial" w:hAnsi="Arial" w:cs="Arial"/>
          <w:b w:val="0"/>
          <w:sz w:val="22"/>
          <w:szCs w:val="22"/>
        </w:rPr>
      </w:pPr>
      <w:r w:rsidRPr="00B02998">
        <w:rPr>
          <w:rFonts w:ascii="Arial" w:hAnsi="Arial" w:cs="Arial"/>
          <w:b w:val="0"/>
          <w:bCs w:val="0"/>
          <w:sz w:val="22"/>
          <w:szCs w:val="22"/>
        </w:rPr>
        <w:t xml:space="preserve"> </w:t>
      </w:r>
      <w:proofErr w:type="gramStart"/>
      <w:r w:rsidRPr="00B02998">
        <w:rPr>
          <w:rFonts w:ascii="Arial" w:hAnsi="Arial" w:cs="Arial"/>
          <w:b w:val="0"/>
          <w:sz w:val="22"/>
          <w:szCs w:val="22"/>
        </w:rPr>
        <w:t>la</w:t>
      </w:r>
      <w:proofErr w:type="gramEnd"/>
      <w:r w:rsidRPr="00B02998">
        <w:rPr>
          <w:rFonts w:ascii="Arial" w:hAnsi="Arial" w:cs="Arial"/>
          <w:b w:val="0"/>
          <w:bCs w:val="0"/>
          <w:sz w:val="22"/>
          <w:szCs w:val="22"/>
        </w:rPr>
        <w:t xml:space="preserve"> L.R. n. 27 del 14.07.2010 con la quale sono state apportate modifiche ed integrazioni alla L.R n. 64/98;</w:t>
      </w:r>
    </w:p>
    <w:p w:rsidR="00650BD1" w:rsidRPr="00B02998" w:rsidRDefault="00650BD1" w:rsidP="00650BD1">
      <w:pPr>
        <w:pStyle w:val="Paragrafoelenco"/>
        <w:numPr>
          <w:ilvl w:val="0"/>
          <w:numId w:val="1"/>
        </w:numPr>
        <w:spacing w:after="160"/>
        <w:jc w:val="both"/>
        <w:rPr>
          <w:rFonts w:ascii="Arial" w:hAnsi="Arial" w:cs="Arial"/>
        </w:rPr>
      </w:pPr>
      <w:proofErr w:type="gramStart"/>
      <w:r w:rsidRPr="00B02998">
        <w:rPr>
          <w:rFonts w:ascii="Arial" w:hAnsi="Arial" w:cs="Arial"/>
        </w:rPr>
        <w:t>la</w:t>
      </w:r>
      <w:proofErr w:type="gramEnd"/>
      <w:r w:rsidRPr="00B02998">
        <w:rPr>
          <w:rFonts w:ascii="Arial" w:hAnsi="Arial" w:cs="Arial"/>
        </w:rPr>
        <w:t xml:space="preserve"> DGR n. 2532 del 1°/12/1999 con la quale è stata costituita l’Agenzia con sede legale in Pescara;</w:t>
      </w:r>
    </w:p>
    <w:p w:rsidR="00650BD1" w:rsidRPr="00B02998" w:rsidRDefault="00650BD1" w:rsidP="00650BD1">
      <w:pPr>
        <w:pStyle w:val="Paragrafoelenco"/>
        <w:numPr>
          <w:ilvl w:val="0"/>
          <w:numId w:val="1"/>
        </w:numPr>
        <w:spacing w:after="160"/>
        <w:jc w:val="both"/>
        <w:rPr>
          <w:rFonts w:ascii="Arial" w:hAnsi="Arial" w:cs="Arial"/>
        </w:rPr>
      </w:pPr>
      <w:proofErr w:type="gramStart"/>
      <w:r w:rsidRPr="00B02998">
        <w:rPr>
          <w:rFonts w:ascii="Arial" w:hAnsi="Arial" w:cs="Arial"/>
        </w:rPr>
        <w:t>la</w:t>
      </w:r>
      <w:proofErr w:type="gramEnd"/>
      <w:r w:rsidRPr="00B02998">
        <w:rPr>
          <w:rFonts w:ascii="Arial" w:hAnsi="Arial" w:cs="Arial"/>
        </w:rPr>
        <w:t xml:space="preserve"> DGR n. 636/2012 e la successiva deliberazione n. 689/2013 con cui è stato approvato dalla Regione Abruzzo il Regolamento Generale dell’ARTA Abruzzo, adottato con deliberazione del Direttore Generale n. 36 del 21.02.2013;</w:t>
      </w:r>
    </w:p>
    <w:p w:rsidR="00650BD1" w:rsidRPr="00B02998" w:rsidRDefault="00650BD1" w:rsidP="00650BD1">
      <w:pPr>
        <w:pStyle w:val="Paragrafoelenco"/>
        <w:numPr>
          <w:ilvl w:val="0"/>
          <w:numId w:val="1"/>
        </w:numPr>
        <w:spacing w:after="160"/>
        <w:jc w:val="both"/>
        <w:rPr>
          <w:rFonts w:ascii="Arial" w:hAnsi="Arial" w:cs="Arial"/>
        </w:rPr>
      </w:pPr>
      <w:proofErr w:type="gramStart"/>
      <w:r w:rsidRPr="00B02998">
        <w:rPr>
          <w:rFonts w:ascii="Arial" w:hAnsi="Arial" w:cs="Arial"/>
        </w:rPr>
        <w:t>la</w:t>
      </w:r>
      <w:proofErr w:type="gramEnd"/>
      <w:r w:rsidRPr="00B02998">
        <w:rPr>
          <w:rFonts w:ascii="Arial" w:hAnsi="Arial" w:cs="Arial"/>
        </w:rPr>
        <w:t xml:space="preserve"> Legge n. 132/2016 “Istituzione del Sistema Nazionale per la Protezione dell’Ambiente e disciplina dell’Istituto Superiore per la Protezione e la Ricerca Ambientale”.</w:t>
      </w:r>
    </w:p>
    <w:p w:rsidR="00650BD1" w:rsidRPr="00B02998" w:rsidRDefault="00650BD1" w:rsidP="00650BD1">
      <w:pPr>
        <w:pStyle w:val="Corpodeltesto2"/>
        <w:jc w:val="both"/>
        <w:rPr>
          <w:rFonts w:ascii="Arial" w:hAnsi="Arial" w:cs="Arial"/>
          <w:sz w:val="22"/>
          <w:szCs w:val="22"/>
        </w:rPr>
      </w:pPr>
      <w:r w:rsidRPr="00B02998">
        <w:rPr>
          <w:rFonts w:ascii="Arial" w:hAnsi="Arial" w:cs="Arial"/>
          <w:sz w:val="22"/>
          <w:szCs w:val="22"/>
        </w:rPr>
        <w:t>CONSIDERATO:</w:t>
      </w:r>
    </w:p>
    <w:p w:rsidR="00650BD1" w:rsidRPr="00B02998" w:rsidRDefault="00650BD1" w:rsidP="00650BD1">
      <w:pPr>
        <w:pStyle w:val="Corpodeltesto2"/>
        <w:numPr>
          <w:ilvl w:val="0"/>
          <w:numId w:val="2"/>
        </w:numPr>
        <w:jc w:val="both"/>
        <w:rPr>
          <w:rFonts w:ascii="Arial" w:hAnsi="Arial" w:cs="Arial"/>
          <w:b w:val="0"/>
          <w:bCs w:val="0"/>
          <w:sz w:val="22"/>
          <w:szCs w:val="22"/>
        </w:rPr>
      </w:pPr>
      <w:proofErr w:type="gramStart"/>
      <w:r w:rsidRPr="00B02998">
        <w:rPr>
          <w:rFonts w:ascii="Arial" w:hAnsi="Arial" w:cs="Arial"/>
          <w:b w:val="0"/>
          <w:sz w:val="22"/>
          <w:szCs w:val="22"/>
        </w:rPr>
        <w:t>che</w:t>
      </w:r>
      <w:proofErr w:type="gramEnd"/>
      <w:r w:rsidRPr="00B02998">
        <w:rPr>
          <w:rFonts w:ascii="Arial" w:hAnsi="Arial" w:cs="Arial"/>
          <w:b w:val="0"/>
          <w:bCs w:val="0"/>
          <w:sz w:val="22"/>
          <w:szCs w:val="22"/>
        </w:rPr>
        <w:t xml:space="preserve"> l’art. 10 comma 13 della L.R. n. 3 del 25.03.2002 “Ordinamento Contabile della Regione Abruzzo” prevede che siano allegati  al Bilancio Annuale di previsione della Regione Abruzzo, i Bilanci degli Enti, Agenzie ed Aziende Regionali;</w:t>
      </w:r>
    </w:p>
    <w:p w:rsidR="00650BD1" w:rsidRPr="00B02998" w:rsidRDefault="00650BD1" w:rsidP="00650BD1">
      <w:pPr>
        <w:pStyle w:val="Corpodeltesto2"/>
        <w:numPr>
          <w:ilvl w:val="0"/>
          <w:numId w:val="2"/>
        </w:numPr>
        <w:jc w:val="both"/>
        <w:rPr>
          <w:rFonts w:ascii="Arial" w:hAnsi="Arial" w:cs="Arial"/>
          <w:b w:val="0"/>
          <w:bCs w:val="0"/>
          <w:sz w:val="22"/>
          <w:szCs w:val="22"/>
        </w:rPr>
      </w:pPr>
      <w:r w:rsidRPr="00B02998">
        <w:rPr>
          <w:rFonts w:ascii="Arial" w:hAnsi="Arial" w:cs="Arial"/>
          <w:b w:val="0"/>
          <w:bCs w:val="0"/>
          <w:sz w:val="22"/>
          <w:szCs w:val="22"/>
        </w:rPr>
        <w:t xml:space="preserve"> l’art. 47 della L.R. 3/2002 prevede che i bilanci delle Agenzie Regionali sono approvati dal Consiglio Regionale con appositi articoli della legge di bilancio.</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rPr>
          <w:rFonts w:ascii="Arial" w:eastAsia="Calibri" w:hAnsi="Arial" w:cs="Arial"/>
          <w:sz w:val="22"/>
        </w:rPr>
      </w:pPr>
      <w:r w:rsidRPr="00B02998">
        <w:rPr>
          <w:rFonts w:ascii="Arial" w:hAnsi="Arial" w:cs="Arial"/>
          <w:b/>
          <w:bCs/>
          <w:sz w:val="22"/>
        </w:rPr>
        <w:t>VISTO</w:t>
      </w:r>
      <w:r w:rsidRPr="00B02998">
        <w:rPr>
          <w:rFonts w:ascii="Arial" w:eastAsia="Calibri" w:hAnsi="Arial" w:cs="Arial"/>
          <w:sz w:val="22"/>
        </w:rPr>
        <w:t xml:space="preserve"> il </w:t>
      </w:r>
      <w:proofErr w:type="spellStart"/>
      <w:r w:rsidRPr="00B02998">
        <w:rPr>
          <w:rFonts w:ascii="Arial" w:eastAsia="Calibri" w:hAnsi="Arial" w:cs="Arial"/>
          <w:sz w:val="22"/>
        </w:rPr>
        <w:t>D.Lgs.</w:t>
      </w:r>
      <w:proofErr w:type="spellEnd"/>
      <w:r w:rsidRPr="00B02998">
        <w:rPr>
          <w:rFonts w:ascii="Arial" w:eastAsia="Calibri" w:hAnsi="Arial" w:cs="Arial"/>
          <w:sz w:val="22"/>
        </w:rPr>
        <w:t xml:space="preserve"> 10 agosto 2014 n. 126 di modifica ed integrazione del </w:t>
      </w:r>
      <w:proofErr w:type="spellStart"/>
      <w:r w:rsidRPr="00B02998">
        <w:rPr>
          <w:rFonts w:ascii="Arial" w:eastAsia="Calibri" w:hAnsi="Arial" w:cs="Arial"/>
          <w:sz w:val="22"/>
        </w:rPr>
        <w:t>D.Lgs.</w:t>
      </w:r>
      <w:proofErr w:type="spellEnd"/>
      <w:r w:rsidRPr="00B02998">
        <w:rPr>
          <w:rFonts w:ascii="Arial" w:eastAsia="Calibri" w:hAnsi="Arial" w:cs="Arial"/>
          <w:sz w:val="22"/>
        </w:rPr>
        <w:t xml:space="preserve"> 23 giugno 2011, n. 118, con riferimento ai sistemi contabili ed agli schemi di bilancio delle Regioni, degli Enti Locali e dei loro organismi, a norma degli articoli 1 e 2 della Legge 5 maggio 2009, n. 42. </w:t>
      </w:r>
    </w:p>
    <w:p w:rsidR="00650BD1" w:rsidRPr="00B02998" w:rsidRDefault="00650BD1" w:rsidP="00650BD1">
      <w:pPr>
        <w:rPr>
          <w:rFonts w:ascii="Arial" w:eastAsia="Calibri" w:hAnsi="Arial" w:cs="Arial"/>
          <w:sz w:val="22"/>
        </w:rPr>
      </w:pPr>
    </w:p>
    <w:p w:rsidR="00650BD1" w:rsidRPr="00B02998" w:rsidRDefault="00650BD1" w:rsidP="00650BD1">
      <w:pPr>
        <w:rPr>
          <w:rFonts w:ascii="Arial" w:eastAsia="Calibri" w:hAnsi="Arial" w:cs="Arial"/>
          <w:sz w:val="22"/>
        </w:rPr>
      </w:pPr>
      <w:r w:rsidRPr="00B02998">
        <w:rPr>
          <w:rFonts w:ascii="Arial" w:eastAsia="Calibri" w:hAnsi="Arial" w:cs="Arial"/>
          <w:b/>
          <w:caps/>
          <w:sz w:val="22"/>
        </w:rPr>
        <w:t>tenuto conto</w:t>
      </w:r>
      <w:r w:rsidRPr="00B02998">
        <w:rPr>
          <w:rFonts w:ascii="Arial" w:eastAsia="Calibri" w:hAnsi="Arial" w:cs="Arial"/>
          <w:b/>
          <w:sz w:val="22"/>
        </w:rPr>
        <w:t xml:space="preserve"> </w:t>
      </w:r>
      <w:r w:rsidRPr="00B02998">
        <w:rPr>
          <w:rFonts w:ascii="Arial" w:eastAsia="Calibri" w:hAnsi="Arial" w:cs="Arial"/>
          <w:sz w:val="22"/>
        </w:rPr>
        <w:t xml:space="preserve">di quanto disposto dall'art. 11 del </w:t>
      </w:r>
      <w:proofErr w:type="spellStart"/>
      <w:r w:rsidRPr="00B02998">
        <w:rPr>
          <w:rFonts w:ascii="Arial" w:eastAsia="Calibri" w:hAnsi="Arial" w:cs="Arial"/>
          <w:sz w:val="22"/>
        </w:rPr>
        <w:t>D.Lgs.</w:t>
      </w:r>
      <w:proofErr w:type="spellEnd"/>
      <w:r w:rsidRPr="00B02998">
        <w:rPr>
          <w:rFonts w:ascii="Arial" w:eastAsia="Calibri" w:hAnsi="Arial" w:cs="Arial"/>
          <w:sz w:val="22"/>
        </w:rPr>
        <w:t xml:space="preserve"> n. 118/2011, così come modificato ed integrato dal </w:t>
      </w:r>
      <w:proofErr w:type="spellStart"/>
      <w:r w:rsidRPr="00B02998">
        <w:rPr>
          <w:rFonts w:ascii="Arial" w:eastAsia="Calibri" w:hAnsi="Arial" w:cs="Arial"/>
          <w:sz w:val="22"/>
        </w:rPr>
        <w:t>D.Lgs.</w:t>
      </w:r>
      <w:proofErr w:type="spellEnd"/>
      <w:r w:rsidRPr="00B02998">
        <w:rPr>
          <w:rFonts w:ascii="Arial" w:eastAsia="Calibri" w:hAnsi="Arial" w:cs="Arial"/>
          <w:sz w:val="22"/>
        </w:rPr>
        <w:t xml:space="preserve"> n. 126/2014, ed in particolare che:</w:t>
      </w:r>
    </w:p>
    <w:p w:rsidR="00650BD1" w:rsidRPr="00B02998" w:rsidRDefault="00650BD1" w:rsidP="00650BD1">
      <w:pPr>
        <w:pStyle w:val="Default"/>
        <w:numPr>
          <w:ilvl w:val="0"/>
          <w:numId w:val="3"/>
        </w:numPr>
        <w:jc w:val="both"/>
        <w:rPr>
          <w:rFonts w:ascii="Arial" w:hAnsi="Arial" w:cs="Arial"/>
          <w:color w:val="auto"/>
          <w:sz w:val="22"/>
          <w:szCs w:val="22"/>
        </w:rPr>
      </w:pPr>
      <w:proofErr w:type="gramStart"/>
      <w:r w:rsidRPr="00B02998">
        <w:rPr>
          <w:rFonts w:ascii="Arial" w:hAnsi="Arial" w:cs="Arial"/>
          <w:color w:val="auto"/>
          <w:sz w:val="22"/>
          <w:szCs w:val="22"/>
        </w:rPr>
        <w:t>a</w:t>
      </w:r>
      <w:proofErr w:type="gramEnd"/>
      <w:r w:rsidRPr="00B02998">
        <w:rPr>
          <w:rFonts w:ascii="Arial" w:hAnsi="Arial" w:cs="Arial"/>
          <w:color w:val="auto"/>
          <w:sz w:val="22"/>
          <w:szCs w:val="22"/>
        </w:rPr>
        <w:t xml:space="preserve"> decorrere dal 2016 gli enti di cui all’art. 2 in contabilità finanziaria approvano il bilancio di previsione almeno triennale, secondo lo schema di cui all’allegato n. 9 al </w:t>
      </w:r>
      <w:proofErr w:type="spellStart"/>
      <w:r w:rsidRPr="00B02998">
        <w:rPr>
          <w:rFonts w:ascii="Arial" w:hAnsi="Arial" w:cs="Arial"/>
          <w:color w:val="auto"/>
          <w:sz w:val="22"/>
          <w:szCs w:val="22"/>
        </w:rPr>
        <w:t>D.Lgs.</w:t>
      </w:r>
      <w:proofErr w:type="spellEnd"/>
      <w:r w:rsidRPr="00B02998">
        <w:rPr>
          <w:rFonts w:ascii="Arial" w:hAnsi="Arial" w:cs="Arial"/>
          <w:color w:val="auto"/>
          <w:sz w:val="22"/>
          <w:szCs w:val="22"/>
        </w:rPr>
        <w:t xml:space="preserve"> n. 118/2011 che assume valore a tutti gli effetti giuridici, anche con riguardo alla funzione </w:t>
      </w:r>
      <w:proofErr w:type="spellStart"/>
      <w:r w:rsidRPr="00B02998">
        <w:rPr>
          <w:rFonts w:ascii="Arial" w:hAnsi="Arial" w:cs="Arial"/>
          <w:color w:val="auto"/>
          <w:sz w:val="22"/>
          <w:szCs w:val="22"/>
        </w:rPr>
        <w:t>autorizzatoria</w:t>
      </w:r>
      <w:proofErr w:type="spellEnd"/>
      <w:r w:rsidRPr="00B02998">
        <w:rPr>
          <w:rFonts w:ascii="Arial" w:hAnsi="Arial" w:cs="Arial"/>
          <w:color w:val="auto"/>
          <w:sz w:val="22"/>
          <w:szCs w:val="22"/>
        </w:rPr>
        <w:t xml:space="preserve">; </w:t>
      </w:r>
    </w:p>
    <w:p w:rsidR="00650BD1" w:rsidRPr="00B02998" w:rsidRDefault="00650BD1" w:rsidP="00650BD1">
      <w:pPr>
        <w:pStyle w:val="Default"/>
        <w:numPr>
          <w:ilvl w:val="0"/>
          <w:numId w:val="3"/>
        </w:numPr>
        <w:jc w:val="both"/>
        <w:rPr>
          <w:rFonts w:ascii="Arial" w:hAnsi="Arial" w:cs="Arial"/>
          <w:color w:val="auto"/>
          <w:sz w:val="22"/>
          <w:szCs w:val="22"/>
        </w:rPr>
      </w:pPr>
      <w:proofErr w:type="gramStart"/>
      <w:r w:rsidRPr="00B02998">
        <w:rPr>
          <w:rFonts w:ascii="Arial" w:hAnsi="Arial" w:cs="Arial"/>
          <w:color w:val="auto"/>
          <w:sz w:val="22"/>
          <w:szCs w:val="22"/>
        </w:rPr>
        <w:t>dal</w:t>
      </w:r>
      <w:proofErr w:type="gramEnd"/>
      <w:r w:rsidRPr="00B02998">
        <w:rPr>
          <w:rFonts w:ascii="Arial" w:hAnsi="Arial" w:cs="Arial"/>
          <w:color w:val="auto"/>
          <w:sz w:val="22"/>
          <w:szCs w:val="22"/>
        </w:rPr>
        <w:t xml:space="preserve"> 2016 è soppressa la distinzione tra il bilancio annuale e il bilancio pluriennale e viene meno l’obbligo di predisporre bilanci e rendiconto secondo un doppio schema (conoscitivo e </w:t>
      </w:r>
      <w:proofErr w:type="spellStart"/>
      <w:r w:rsidRPr="00B02998">
        <w:rPr>
          <w:rFonts w:ascii="Arial" w:hAnsi="Arial" w:cs="Arial"/>
          <w:color w:val="auto"/>
          <w:sz w:val="22"/>
          <w:szCs w:val="22"/>
        </w:rPr>
        <w:t>autorizzatorio</w:t>
      </w:r>
      <w:proofErr w:type="spellEnd"/>
      <w:r w:rsidRPr="00B02998">
        <w:rPr>
          <w:rFonts w:ascii="Arial" w:hAnsi="Arial" w:cs="Arial"/>
          <w:color w:val="auto"/>
          <w:sz w:val="22"/>
          <w:szCs w:val="22"/>
        </w:rPr>
        <w:t>);</w:t>
      </w:r>
    </w:p>
    <w:p w:rsidR="00650BD1" w:rsidRPr="00B02998" w:rsidRDefault="00650BD1" w:rsidP="00650BD1">
      <w:pPr>
        <w:pStyle w:val="Corpodeltesto2"/>
        <w:numPr>
          <w:ilvl w:val="0"/>
          <w:numId w:val="3"/>
        </w:numPr>
        <w:jc w:val="both"/>
        <w:rPr>
          <w:rFonts w:ascii="Arial" w:hAnsi="Arial" w:cs="Arial"/>
          <w:b w:val="0"/>
          <w:bCs w:val="0"/>
          <w:sz w:val="22"/>
          <w:szCs w:val="22"/>
        </w:rPr>
      </w:pPr>
      <w:proofErr w:type="gramStart"/>
      <w:r w:rsidRPr="00B02998">
        <w:rPr>
          <w:rFonts w:ascii="Arial" w:hAnsi="Arial" w:cs="Arial"/>
          <w:b w:val="0"/>
          <w:bCs w:val="0"/>
          <w:sz w:val="22"/>
          <w:szCs w:val="22"/>
        </w:rPr>
        <w:t>l’elaborazione</w:t>
      </w:r>
      <w:proofErr w:type="gramEnd"/>
      <w:r>
        <w:rPr>
          <w:rFonts w:ascii="Arial" w:hAnsi="Arial" w:cs="Arial"/>
          <w:b w:val="0"/>
          <w:bCs w:val="0"/>
          <w:sz w:val="22"/>
          <w:szCs w:val="22"/>
        </w:rPr>
        <w:t xml:space="preserve"> del bilancio di previsione 2023</w:t>
      </w:r>
      <w:r w:rsidRPr="00B02998">
        <w:rPr>
          <w:rFonts w:ascii="Arial" w:hAnsi="Arial" w:cs="Arial"/>
          <w:b w:val="0"/>
          <w:bCs w:val="0"/>
          <w:sz w:val="22"/>
          <w:szCs w:val="22"/>
        </w:rPr>
        <w:t>-202</w:t>
      </w:r>
      <w:r>
        <w:rPr>
          <w:rFonts w:ascii="Arial" w:hAnsi="Arial" w:cs="Arial"/>
          <w:b w:val="0"/>
          <w:bCs w:val="0"/>
          <w:sz w:val="22"/>
          <w:szCs w:val="22"/>
        </w:rPr>
        <w:t>5</w:t>
      </w:r>
      <w:r w:rsidRPr="00B02998">
        <w:rPr>
          <w:rFonts w:ascii="Arial" w:hAnsi="Arial" w:cs="Arial"/>
          <w:b w:val="0"/>
          <w:bCs w:val="0"/>
          <w:sz w:val="22"/>
          <w:szCs w:val="22"/>
        </w:rPr>
        <w:t xml:space="preserve"> per missioni e programmi con funzione </w:t>
      </w:r>
      <w:proofErr w:type="spellStart"/>
      <w:r w:rsidRPr="00B02998">
        <w:rPr>
          <w:rFonts w:ascii="Arial" w:hAnsi="Arial" w:cs="Arial"/>
          <w:b w:val="0"/>
          <w:bCs w:val="0"/>
          <w:sz w:val="22"/>
          <w:szCs w:val="22"/>
        </w:rPr>
        <w:t>autorizzatoria</w:t>
      </w:r>
      <w:proofErr w:type="spellEnd"/>
      <w:r w:rsidRPr="00B02998">
        <w:rPr>
          <w:rFonts w:ascii="Arial" w:hAnsi="Arial" w:cs="Arial"/>
          <w:b w:val="0"/>
          <w:bCs w:val="0"/>
          <w:sz w:val="22"/>
          <w:szCs w:val="22"/>
        </w:rPr>
        <w:t xml:space="preserve"> è favorita dalla riclassificazione dei capitoli e degli articoli del bilancio gestionale (regioni e enti regionali) per missioni e programmi.</w:t>
      </w:r>
    </w:p>
    <w:p w:rsidR="00650BD1" w:rsidRPr="00B02998" w:rsidRDefault="00650BD1" w:rsidP="00650BD1">
      <w:pPr>
        <w:rPr>
          <w:rFonts w:ascii="Arial" w:eastAsia="Calibri" w:hAnsi="Arial" w:cs="Arial"/>
          <w:b/>
          <w:sz w:val="22"/>
        </w:rPr>
      </w:pPr>
    </w:p>
    <w:p w:rsidR="00650BD1" w:rsidRPr="00B02998" w:rsidRDefault="00650BD1" w:rsidP="00650BD1">
      <w:pPr>
        <w:rPr>
          <w:rFonts w:ascii="Arial" w:eastAsia="Calibri" w:hAnsi="Arial" w:cs="Arial"/>
          <w:b/>
          <w:sz w:val="22"/>
        </w:rPr>
      </w:pPr>
      <w:r w:rsidRPr="00B02998">
        <w:rPr>
          <w:rFonts w:ascii="Arial" w:eastAsia="Calibri" w:hAnsi="Arial" w:cs="Arial"/>
          <w:b/>
          <w:sz w:val="22"/>
        </w:rPr>
        <w:t xml:space="preserve">CONSIDERATO </w:t>
      </w:r>
      <w:r w:rsidRPr="00B02998">
        <w:rPr>
          <w:rFonts w:ascii="Arial" w:eastAsia="Calibri" w:hAnsi="Arial" w:cs="Arial"/>
          <w:sz w:val="22"/>
        </w:rPr>
        <w:t>che</w:t>
      </w:r>
      <w:r w:rsidRPr="00B02998">
        <w:rPr>
          <w:rFonts w:ascii="Arial" w:eastAsia="Calibri" w:hAnsi="Arial" w:cs="Arial"/>
          <w:b/>
          <w:sz w:val="22"/>
        </w:rPr>
        <w:t>:</w:t>
      </w:r>
    </w:p>
    <w:p w:rsidR="00650BD1" w:rsidRPr="00B02998" w:rsidRDefault="00650BD1" w:rsidP="00650BD1">
      <w:pPr>
        <w:pStyle w:val="Paragrafoelenco"/>
        <w:numPr>
          <w:ilvl w:val="0"/>
          <w:numId w:val="4"/>
        </w:numPr>
        <w:spacing w:after="0" w:line="240" w:lineRule="auto"/>
        <w:jc w:val="both"/>
        <w:rPr>
          <w:rFonts w:ascii="Arial" w:hAnsi="Arial" w:cs="Arial"/>
        </w:rPr>
      </w:pPr>
      <w:proofErr w:type="gramStart"/>
      <w:r w:rsidRPr="00B02998">
        <w:rPr>
          <w:rFonts w:ascii="Arial" w:hAnsi="Arial" w:cs="Arial"/>
        </w:rPr>
        <w:t>per</w:t>
      </w:r>
      <w:proofErr w:type="gramEnd"/>
      <w:r w:rsidRPr="00B02998">
        <w:rPr>
          <w:rFonts w:ascii="Arial" w:hAnsi="Arial" w:cs="Arial"/>
        </w:rPr>
        <w:t xml:space="preserve"> quanto concerne gli schemi armonizzati di cui all'allegato 9 del </w:t>
      </w:r>
      <w:proofErr w:type="spellStart"/>
      <w:r w:rsidRPr="00B02998">
        <w:rPr>
          <w:rFonts w:ascii="Arial" w:hAnsi="Arial" w:cs="Arial"/>
        </w:rPr>
        <w:t>D.Lgs.</w:t>
      </w:r>
      <w:proofErr w:type="spellEnd"/>
      <w:r w:rsidRPr="00B02998">
        <w:rPr>
          <w:rFonts w:ascii="Arial" w:hAnsi="Arial" w:cs="Arial"/>
        </w:rPr>
        <w:t xml:space="preserve"> 118/2011, è prevista la classificazione del bilancio finanziario per missioni e programmi di cui agli articoli 13 e 14 del citato </w:t>
      </w:r>
      <w:proofErr w:type="spellStart"/>
      <w:r w:rsidRPr="00B02998">
        <w:rPr>
          <w:rFonts w:ascii="Arial" w:hAnsi="Arial" w:cs="Arial"/>
        </w:rPr>
        <w:t>D.Lgs.</w:t>
      </w:r>
      <w:proofErr w:type="spellEnd"/>
      <w:r w:rsidRPr="00B02998">
        <w:rPr>
          <w:rFonts w:ascii="Arial" w:hAnsi="Arial" w:cs="Arial"/>
        </w:rPr>
        <w:t xml:space="preserve"> 118/2011 e la reintroduzione della previsione di cassa, che costituirà limite ai pagamenti di spesa; </w:t>
      </w:r>
    </w:p>
    <w:p w:rsidR="00650BD1" w:rsidRPr="00B02998" w:rsidRDefault="00650BD1" w:rsidP="00650BD1">
      <w:pPr>
        <w:pStyle w:val="Paragrafoelenco"/>
        <w:numPr>
          <w:ilvl w:val="0"/>
          <w:numId w:val="4"/>
        </w:numPr>
        <w:spacing w:after="0" w:line="240" w:lineRule="auto"/>
        <w:jc w:val="both"/>
        <w:rPr>
          <w:rFonts w:ascii="Arial" w:hAnsi="Arial" w:cs="Arial"/>
        </w:rPr>
      </w:pPr>
      <w:proofErr w:type="gramStart"/>
      <w:r w:rsidRPr="00B02998">
        <w:rPr>
          <w:rFonts w:ascii="Arial" w:hAnsi="Arial" w:cs="Arial"/>
        </w:rPr>
        <w:t>occorre</w:t>
      </w:r>
      <w:proofErr w:type="gramEnd"/>
      <w:r w:rsidRPr="00B02998">
        <w:rPr>
          <w:rFonts w:ascii="Arial" w:hAnsi="Arial" w:cs="Arial"/>
        </w:rPr>
        <w:t xml:space="preserve"> provvedere alla tenuta della contabilità finanziaria sulla base dei principi generali ed in particolare in aderenza al principio generale n. 16 della competenza finanziaria, in base al quale le obbligazioni attive e passive giuridicamente perfezionate sono registrate nelle scritture contabili con l'imputazione all'esercizio nel quale vengono a scadenza.</w:t>
      </w:r>
    </w:p>
    <w:p w:rsidR="00650BD1" w:rsidRPr="00B02998" w:rsidRDefault="00650BD1" w:rsidP="00650BD1">
      <w:pPr>
        <w:rPr>
          <w:rFonts w:ascii="Arial" w:eastAsia="Calibri" w:hAnsi="Arial" w:cs="Arial"/>
          <w:b/>
          <w:sz w:val="22"/>
        </w:rPr>
      </w:pPr>
    </w:p>
    <w:p w:rsidR="00650BD1" w:rsidRPr="00B02998" w:rsidRDefault="00650BD1" w:rsidP="00650BD1">
      <w:pPr>
        <w:rPr>
          <w:rFonts w:ascii="Arial" w:eastAsia="Calibri" w:hAnsi="Arial" w:cs="Arial"/>
          <w:b/>
          <w:sz w:val="22"/>
        </w:rPr>
      </w:pPr>
      <w:r w:rsidRPr="00B02998">
        <w:rPr>
          <w:rFonts w:ascii="Arial" w:eastAsia="Calibri" w:hAnsi="Arial" w:cs="Arial"/>
          <w:b/>
          <w:sz w:val="22"/>
        </w:rPr>
        <w:t xml:space="preserve">DATO ATTO </w:t>
      </w:r>
      <w:r w:rsidRPr="00B02998">
        <w:rPr>
          <w:rFonts w:ascii="Arial" w:eastAsia="Calibri" w:hAnsi="Arial" w:cs="Arial"/>
          <w:sz w:val="22"/>
        </w:rPr>
        <w:t>che</w:t>
      </w:r>
      <w:r w:rsidRPr="00B02998">
        <w:rPr>
          <w:rFonts w:ascii="Arial" w:eastAsia="Calibri" w:hAnsi="Arial" w:cs="Arial"/>
          <w:b/>
          <w:sz w:val="22"/>
        </w:rPr>
        <w:t>:</w:t>
      </w:r>
    </w:p>
    <w:p w:rsidR="00650BD1" w:rsidRPr="00B02998" w:rsidRDefault="00650BD1" w:rsidP="00650BD1">
      <w:pPr>
        <w:pStyle w:val="Paragrafoelenco"/>
        <w:numPr>
          <w:ilvl w:val="0"/>
          <w:numId w:val="5"/>
        </w:numPr>
        <w:spacing w:after="0" w:line="240" w:lineRule="auto"/>
        <w:jc w:val="both"/>
        <w:rPr>
          <w:rFonts w:ascii="Arial" w:hAnsi="Arial" w:cs="Arial"/>
        </w:rPr>
      </w:pPr>
      <w:proofErr w:type="gramStart"/>
      <w:r w:rsidRPr="00B02998">
        <w:rPr>
          <w:rFonts w:ascii="Arial" w:hAnsi="Arial" w:cs="Arial"/>
        </w:rPr>
        <w:t>in</w:t>
      </w:r>
      <w:proofErr w:type="gramEnd"/>
      <w:r w:rsidRPr="00B02998">
        <w:rPr>
          <w:rFonts w:ascii="Arial" w:hAnsi="Arial" w:cs="Arial"/>
        </w:rPr>
        <w:t xml:space="preserve"> applicazione del principio generale della competenza finanziaria, le previsioni di entrata e di spesa iscritte in bilancio, negli schemi di cui all’allegato 9 del </w:t>
      </w:r>
      <w:proofErr w:type="spellStart"/>
      <w:r w:rsidRPr="00B02998">
        <w:rPr>
          <w:rFonts w:ascii="Arial" w:hAnsi="Arial" w:cs="Arial"/>
        </w:rPr>
        <w:t>D.Lgs.</w:t>
      </w:r>
      <w:proofErr w:type="spellEnd"/>
      <w:r w:rsidRPr="00B02998">
        <w:rPr>
          <w:rFonts w:ascii="Arial" w:hAnsi="Arial" w:cs="Arial"/>
        </w:rPr>
        <w:t xml:space="preserve"> 118/2011, si riferiscono agli accertamenti e agli impegni che si prevede di assumere in ciascuno degli esercizi cui il bilancio si riferisce ed esigibili nei medesimi;</w:t>
      </w:r>
    </w:p>
    <w:p w:rsidR="00650BD1" w:rsidRPr="00B02998" w:rsidRDefault="00650BD1" w:rsidP="00650BD1">
      <w:pPr>
        <w:pStyle w:val="Paragrafoelenco"/>
        <w:numPr>
          <w:ilvl w:val="0"/>
          <w:numId w:val="5"/>
        </w:numPr>
        <w:spacing w:after="0" w:line="240" w:lineRule="auto"/>
        <w:jc w:val="both"/>
        <w:rPr>
          <w:rFonts w:ascii="Arial" w:hAnsi="Arial" w:cs="Arial"/>
        </w:rPr>
      </w:pPr>
      <w:proofErr w:type="gramStart"/>
      <w:r w:rsidRPr="00B02998">
        <w:rPr>
          <w:rFonts w:ascii="Arial" w:hAnsi="Arial" w:cs="Arial"/>
        </w:rPr>
        <w:t>sempre</w:t>
      </w:r>
      <w:proofErr w:type="gramEnd"/>
      <w:r w:rsidRPr="00B02998">
        <w:rPr>
          <w:rFonts w:ascii="Arial" w:hAnsi="Arial" w:cs="Arial"/>
        </w:rPr>
        <w:t xml:space="preserve"> con riguardo agli schemi di bilancio armonizzati, sono iscritte in bilancio le previsioni delle entrate che si prevede di riscuotere o delle spese di cui si autorizza il </w:t>
      </w:r>
      <w:r w:rsidRPr="00B02998">
        <w:rPr>
          <w:rFonts w:ascii="Arial" w:hAnsi="Arial" w:cs="Arial"/>
        </w:rPr>
        <w:lastRenderedPageBreak/>
        <w:t>pagamento nel primo esercizio considerato nel bilancio, senza distinzioni fra riscossioni e pagamenti in conto competenza e in conto residui.</w:t>
      </w:r>
    </w:p>
    <w:p w:rsidR="00650BD1" w:rsidRPr="00B02998" w:rsidRDefault="00650BD1" w:rsidP="00650BD1">
      <w:pPr>
        <w:pStyle w:val="Paragrafoelenco"/>
        <w:spacing w:after="0" w:line="240" w:lineRule="auto"/>
        <w:jc w:val="both"/>
        <w:rPr>
          <w:rFonts w:ascii="Arial" w:hAnsi="Arial" w:cs="Arial"/>
        </w:rPr>
      </w:pPr>
    </w:p>
    <w:p w:rsidR="00650BD1" w:rsidRPr="00B02998" w:rsidRDefault="00650BD1" w:rsidP="00650BD1">
      <w:pPr>
        <w:rPr>
          <w:rFonts w:ascii="Arial" w:eastAsia="Calibri" w:hAnsi="Arial" w:cs="Arial"/>
          <w:sz w:val="22"/>
        </w:rPr>
      </w:pPr>
      <w:r w:rsidRPr="00B02998">
        <w:rPr>
          <w:rFonts w:ascii="Arial" w:eastAsia="Calibri" w:hAnsi="Arial" w:cs="Arial"/>
          <w:b/>
          <w:sz w:val="22"/>
        </w:rPr>
        <w:t>RICHIAMATO</w:t>
      </w:r>
      <w:r w:rsidRPr="00B02998">
        <w:rPr>
          <w:rFonts w:ascii="Arial" w:eastAsia="Calibri" w:hAnsi="Arial" w:cs="Arial"/>
          <w:sz w:val="22"/>
        </w:rPr>
        <w:t xml:space="preserve"> l’art. 3, comma 12, del </w:t>
      </w:r>
      <w:proofErr w:type="spellStart"/>
      <w:r w:rsidRPr="00B02998">
        <w:rPr>
          <w:rFonts w:ascii="Arial" w:eastAsia="Calibri" w:hAnsi="Arial" w:cs="Arial"/>
          <w:sz w:val="22"/>
        </w:rPr>
        <w:t>D.Lgs</w:t>
      </w:r>
      <w:proofErr w:type="spellEnd"/>
      <w:r w:rsidRPr="00B02998">
        <w:rPr>
          <w:rFonts w:ascii="Arial" w:eastAsia="Calibri" w:hAnsi="Arial" w:cs="Arial"/>
          <w:sz w:val="22"/>
        </w:rPr>
        <w:t xml:space="preserve"> 118/2011 ai sensi del quale occorre provvedere all'adozione dei principi applicati della contabilità economico-patrimoniale e il conseguente affiancamento della contabilità economico patrimoniale alla contabilità finanziaria previsto dall'art. 2, commi 1 e 2, unitamente all'adozione del piano dei conti integrato di cui all'art. 4 per garantire la rilevazione unitaria dei fatti gestionali, sia sotto il profilo finanziario che sotto il profilo economico-patrimoniale, necessaria per l’elaborazione del rendiconto.</w:t>
      </w:r>
    </w:p>
    <w:p w:rsidR="00650BD1" w:rsidRPr="00B02998" w:rsidRDefault="00650BD1" w:rsidP="00650BD1">
      <w:pPr>
        <w:rPr>
          <w:rFonts w:ascii="Arial" w:eastAsia="Calibri" w:hAnsi="Arial" w:cs="Arial"/>
          <w:sz w:val="22"/>
        </w:rPr>
      </w:pPr>
    </w:p>
    <w:p w:rsidR="00650BD1" w:rsidRPr="00B02998" w:rsidRDefault="00650BD1" w:rsidP="00650BD1">
      <w:pPr>
        <w:autoSpaceDE w:val="0"/>
        <w:autoSpaceDN w:val="0"/>
        <w:adjustRightInd w:val="0"/>
        <w:rPr>
          <w:rFonts w:ascii="Arial" w:hAnsi="Arial" w:cs="Arial"/>
          <w:bCs/>
          <w:sz w:val="22"/>
        </w:rPr>
      </w:pPr>
      <w:r w:rsidRPr="00B02998">
        <w:rPr>
          <w:rFonts w:ascii="Arial" w:hAnsi="Arial" w:cs="Arial"/>
          <w:b/>
          <w:sz w:val="22"/>
        </w:rPr>
        <w:t>ACCERTATO</w:t>
      </w:r>
      <w:r w:rsidRPr="00B02998">
        <w:rPr>
          <w:rFonts w:ascii="Arial" w:hAnsi="Arial" w:cs="Arial"/>
          <w:sz w:val="22"/>
        </w:rPr>
        <w:t xml:space="preserve"> che la rideterminazione del risultato di amministrazione al 1 gennaio 2015, a seguito del </w:t>
      </w:r>
      <w:proofErr w:type="spellStart"/>
      <w:r w:rsidRPr="00B02998">
        <w:rPr>
          <w:rFonts w:ascii="Arial" w:hAnsi="Arial" w:cs="Arial"/>
          <w:sz w:val="22"/>
        </w:rPr>
        <w:t>riaccertamento</w:t>
      </w:r>
      <w:proofErr w:type="spellEnd"/>
      <w:r w:rsidRPr="00B02998">
        <w:rPr>
          <w:rFonts w:ascii="Arial" w:hAnsi="Arial" w:cs="Arial"/>
          <w:sz w:val="22"/>
        </w:rPr>
        <w:t xml:space="preserve"> straordinario dei residui, ha prodotto un disavanzo straordinario di amministrazione </w:t>
      </w:r>
      <w:r w:rsidRPr="00B02998">
        <w:rPr>
          <w:rFonts w:ascii="Arial" w:hAnsi="Arial" w:cs="Arial"/>
          <w:bCs/>
          <w:sz w:val="22"/>
        </w:rPr>
        <w:t>a seguito degli accantonamenti e vincoli imposti dalle nuove disposizioni in materia.</w:t>
      </w:r>
    </w:p>
    <w:p w:rsidR="00650BD1" w:rsidRPr="00B02998" w:rsidRDefault="00650BD1" w:rsidP="00650BD1">
      <w:pPr>
        <w:rPr>
          <w:rFonts w:ascii="Arial" w:eastAsia="Calibri" w:hAnsi="Arial" w:cs="Arial"/>
          <w:sz w:val="22"/>
        </w:rPr>
      </w:pPr>
    </w:p>
    <w:p w:rsidR="00650BD1" w:rsidRPr="00D26252" w:rsidRDefault="00650BD1" w:rsidP="00650BD1">
      <w:pPr>
        <w:autoSpaceDE w:val="0"/>
        <w:autoSpaceDN w:val="0"/>
        <w:adjustRightInd w:val="0"/>
        <w:rPr>
          <w:rFonts w:ascii="Arial" w:hAnsi="Arial" w:cs="Arial"/>
          <w:b/>
          <w:sz w:val="22"/>
        </w:rPr>
      </w:pPr>
      <w:r w:rsidRPr="00D26252">
        <w:rPr>
          <w:rFonts w:ascii="Arial" w:hAnsi="Arial" w:cs="Arial"/>
          <w:b/>
          <w:sz w:val="22"/>
        </w:rPr>
        <w:t xml:space="preserve">DATO ATTO </w:t>
      </w:r>
      <w:r w:rsidRPr="00D26252">
        <w:rPr>
          <w:rFonts w:ascii="Arial" w:hAnsi="Arial" w:cs="Arial"/>
          <w:sz w:val="22"/>
        </w:rPr>
        <w:t xml:space="preserve">che il disavanzo di amministrazione risultante dal </w:t>
      </w:r>
      <w:proofErr w:type="spellStart"/>
      <w:r w:rsidRPr="00D26252">
        <w:rPr>
          <w:rFonts w:ascii="Arial" w:hAnsi="Arial" w:cs="Arial"/>
          <w:sz w:val="22"/>
        </w:rPr>
        <w:t>riaccertamento</w:t>
      </w:r>
      <w:proofErr w:type="spellEnd"/>
      <w:r w:rsidRPr="00D26252">
        <w:rPr>
          <w:rFonts w:ascii="Arial" w:hAnsi="Arial" w:cs="Arial"/>
          <w:sz w:val="22"/>
        </w:rPr>
        <w:t xml:space="preserve"> straordinario dei residui viene finanziato, ai sensi dell’articolo 3, comma 16, del Decreto Legislativo n°118/2011 e del D.M. del Ministero dell’economia e delle finanze del 02/04/2015, che individua le modalità di calcolo del maggiore disavanzo di amministrazione derivante dal </w:t>
      </w:r>
      <w:proofErr w:type="spellStart"/>
      <w:r w:rsidRPr="00D26252">
        <w:rPr>
          <w:rFonts w:ascii="Arial" w:hAnsi="Arial" w:cs="Arial"/>
          <w:sz w:val="22"/>
        </w:rPr>
        <w:t>riaccertamento</w:t>
      </w:r>
      <w:proofErr w:type="spellEnd"/>
      <w:r w:rsidRPr="00D26252">
        <w:rPr>
          <w:rFonts w:ascii="Arial" w:hAnsi="Arial" w:cs="Arial"/>
          <w:sz w:val="22"/>
        </w:rPr>
        <w:t xml:space="preserve"> straordinario dei residui e le modalità di ripiano derogatorie rispetto alle modalità ordinarie del disavanzo straordinario di amministrazione, con una quota annuale a carico del bilancio </w:t>
      </w:r>
      <w:r w:rsidRPr="00113F3C">
        <w:rPr>
          <w:rFonts w:ascii="Arial" w:hAnsi="Arial" w:cs="Arial"/>
          <w:sz w:val="22"/>
        </w:rPr>
        <w:t>d’esercizio pari ad € 20.581,00 per un periodo di dieci esercizi.</w:t>
      </w:r>
      <w:r>
        <w:rPr>
          <w:rFonts w:ascii="Arial" w:hAnsi="Arial" w:cs="Arial"/>
          <w:sz w:val="22"/>
        </w:rPr>
        <w:t xml:space="preserve"> </w:t>
      </w:r>
    </w:p>
    <w:p w:rsidR="00650BD1" w:rsidRPr="00B02998" w:rsidRDefault="00650BD1" w:rsidP="00650BD1">
      <w:pPr>
        <w:autoSpaceDE w:val="0"/>
        <w:autoSpaceDN w:val="0"/>
        <w:adjustRightInd w:val="0"/>
        <w:rPr>
          <w:rFonts w:ascii="Arial" w:hAnsi="Arial" w:cs="Arial"/>
          <w:sz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sz w:val="22"/>
          <w:szCs w:val="22"/>
        </w:rPr>
        <w:t>TENUTO CONTO</w:t>
      </w:r>
      <w:r w:rsidRPr="00B02998">
        <w:rPr>
          <w:rFonts w:ascii="Arial" w:hAnsi="Arial" w:cs="Arial"/>
          <w:b w:val="0"/>
          <w:sz w:val="22"/>
          <w:szCs w:val="22"/>
        </w:rPr>
        <w:t xml:space="preserve"> </w:t>
      </w:r>
      <w:r w:rsidRPr="00B02998">
        <w:rPr>
          <w:rFonts w:ascii="Arial" w:hAnsi="Arial" w:cs="Arial"/>
          <w:b w:val="0"/>
          <w:bCs w:val="0"/>
          <w:sz w:val="22"/>
          <w:szCs w:val="22"/>
        </w:rPr>
        <w:t>che il Bilancio di previsione dell’Agenzia deve essere predisposto in termini di competenza e cassa.</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sz w:val="22"/>
          <w:szCs w:val="22"/>
        </w:rPr>
        <w:t xml:space="preserve">CONSIDERATO </w:t>
      </w:r>
      <w:r w:rsidRPr="00B02998">
        <w:rPr>
          <w:rFonts w:ascii="Arial" w:hAnsi="Arial" w:cs="Arial"/>
          <w:b w:val="0"/>
          <w:sz w:val="22"/>
          <w:szCs w:val="22"/>
        </w:rPr>
        <w:t>che</w:t>
      </w:r>
      <w:r w:rsidRPr="00B02998">
        <w:rPr>
          <w:rFonts w:ascii="Arial" w:hAnsi="Arial" w:cs="Arial"/>
          <w:b w:val="0"/>
          <w:bCs w:val="0"/>
          <w:sz w:val="22"/>
          <w:szCs w:val="22"/>
        </w:rPr>
        <w:t xml:space="preserve"> la L.R. 64/98 prevede che l’Agenzia sia finanziata da un contributo a valere sul fondo sanitario (art. 29 comma 1 lettera a), da considerarsi indistinto e volto al finanziamento della generalità della spesa dell’Agenzia e da un fondo (art. 29 comma 1 lettera b) determinato annualmente con legge di bilancio regionale, di cui una quota è volta alle finalità di cui all’art. 1 bis ai sensi della L.R. n. 27 del 14.07.2010.</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caps/>
          <w:sz w:val="22"/>
          <w:szCs w:val="22"/>
        </w:rPr>
        <w:t xml:space="preserve">PRESO ATTO </w:t>
      </w:r>
      <w:r w:rsidRPr="00B02998">
        <w:rPr>
          <w:rFonts w:ascii="Arial" w:hAnsi="Arial" w:cs="Arial"/>
          <w:b w:val="0"/>
          <w:bCs w:val="0"/>
          <w:sz w:val="22"/>
          <w:szCs w:val="22"/>
        </w:rPr>
        <w:t xml:space="preserve">della Relazione Programmatica per il conseguimento degli obiettivi ambientali, elaborata ai sensi dell’art. 10 della L.R. 64/98 come modificato con L.R. 27/2010, </w:t>
      </w:r>
      <w:r w:rsidRPr="00B02998">
        <w:rPr>
          <w:rFonts w:ascii="Arial" w:hAnsi="Arial" w:cs="Arial"/>
          <w:b w:val="0"/>
          <w:bCs w:val="0"/>
          <w:color w:val="000000"/>
          <w:sz w:val="22"/>
          <w:szCs w:val="22"/>
        </w:rPr>
        <w:t>allegato A).</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sz w:val="22"/>
          <w:szCs w:val="22"/>
        </w:rPr>
        <w:t>VISTE</w:t>
      </w:r>
      <w:r w:rsidRPr="00B02998">
        <w:rPr>
          <w:rFonts w:ascii="Arial" w:hAnsi="Arial" w:cs="Arial"/>
          <w:b w:val="0"/>
          <w:bCs w:val="0"/>
          <w:sz w:val="22"/>
          <w:szCs w:val="22"/>
        </w:rPr>
        <w:t xml:space="preserve"> l’allegata relazione illustrativa al bilancio di previsione 2023, 2024, 2025, </w:t>
      </w:r>
      <w:r w:rsidRPr="009442B4">
        <w:rPr>
          <w:rFonts w:ascii="Arial" w:hAnsi="Arial" w:cs="Arial"/>
          <w:b w:val="0"/>
          <w:bCs w:val="0"/>
          <w:sz w:val="22"/>
          <w:szCs w:val="22"/>
        </w:rPr>
        <w:t>allegato B)</w:t>
      </w:r>
      <w:r w:rsidRPr="00B02998">
        <w:rPr>
          <w:rFonts w:ascii="Arial" w:hAnsi="Arial" w:cs="Arial"/>
          <w:b w:val="0"/>
          <w:bCs w:val="0"/>
          <w:sz w:val="22"/>
          <w:szCs w:val="22"/>
        </w:rPr>
        <w:t xml:space="preserve"> e la nota integrativa del bilancio di previsione 2023,2024,2025 </w:t>
      </w:r>
      <w:r w:rsidRPr="009442B4">
        <w:rPr>
          <w:rFonts w:ascii="Arial" w:hAnsi="Arial" w:cs="Arial"/>
          <w:b w:val="0"/>
          <w:bCs w:val="0"/>
          <w:sz w:val="22"/>
          <w:szCs w:val="22"/>
        </w:rPr>
        <w:t>allegato C).</w:t>
      </w:r>
    </w:p>
    <w:p w:rsidR="00650BD1" w:rsidRPr="00B02998" w:rsidRDefault="00650BD1" w:rsidP="00650BD1">
      <w:pPr>
        <w:pStyle w:val="Corpodeltesto2"/>
        <w:ind w:firstLine="708"/>
        <w:jc w:val="both"/>
        <w:rPr>
          <w:rFonts w:ascii="Arial" w:hAnsi="Arial" w:cs="Arial"/>
          <w:b w:val="0"/>
          <w:bCs w:val="0"/>
          <w:sz w:val="22"/>
          <w:szCs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bCs w:val="0"/>
          <w:sz w:val="22"/>
          <w:szCs w:val="22"/>
        </w:rPr>
        <w:t>VISTO</w:t>
      </w:r>
      <w:r w:rsidRPr="00B02998">
        <w:rPr>
          <w:rFonts w:ascii="Arial" w:hAnsi="Arial" w:cs="Arial"/>
          <w:b w:val="0"/>
          <w:bCs w:val="0"/>
          <w:sz w:val="22"/>
          <w:szCs w:val="22"/>
        </w:rPr>
        <w:t xml:space="preserve"> l’allegato prospetto di Bilancio di Previsione finanziario armonizzato 202</w:t>
      </w:r>
      <w:r>
        <w:rPr>
          <w:rFonts w:ascii="Arial" w:hAnsi="Arial" w:cs="Arial"/>
          <w:b w:val="0"/>
          <w:bCs w:val="0"/>
          <w:sz w:val="22"/>
          <w:szCs w:val="22"/>
        </w:rPr>
        <w:t>3, 2024</w:t>
      </w:r>
      <w:r w:rsidRPr="00B02998">
        <w:rPr>
          <w:rFonts w:ascii="Arial" w:hAnsi="Arial" w:cs="Arial"/>
          <w:b w:val="0"/>
          <w:bCs w:val="0"/>
          <w:sz w:val="22"/>
          <w:szCs w:val="22"/>
        </w:rPr>
        <w:t>, 202</w:t>
      </w:r>
      <w:r>
        <w:rPr>
          <w:rFonts w:ascii="Arial" w:hAnsi="Arial" w:cs="Arial"/>
          <w:b w:val="0"/>
          <w:bCs w:val="0"/>
          <w:sz w:val="22"/>
          <w:szCs w:val="22"/>
        </w:rPr>
        <w:t>5</w:t>
      </w:r>
      <w:r w:rsidRPr="00B02998">
        <w:rPr>
          <w:rFonts w:ascii="Arial" w:hAnsi="Arial" w:cs="Arial"/>
          <w:b w:val="0"/>
          <w:bCs w:val="0"/>
          <w:sz w:val="22"/>
          <w:szCs w:val="22"/>
        </w:rPr>
        <w:t xml:space="preserve"> di cui all’allegato 9 al </w:t>
      </w:r>
      <w:proofErr w:type="spellStart"/>
      <w:r w:rsidRPr="00B02998">
        <w:rPr>
          <w:rFonts w:ascii="Arial" w:hAnsi="Arial" w:cs="Arial"/>
          <w:b w:val="0"/>
          <w:bCs w:val="0"/>
          <w:sz w:val="22"/>
          <w:szCs w:val="22"/>
        </w:rPr>
        <w:t>D.Lgs.</w:t>
      </w:r>
      <w:proofErr w:type="spellEnd"/>
      <w:r w:rsidRPr="00B02998">
        <w:rPr>
          <w:rFonts w:ascii="Arial" w:hAnsi="Arial" w:cs="Arial"/>
          <w:b w:val="0"/>
          <w:bCs w:val="0"/>
          <w:sz w:val="22"/>
          <w:szCs w:val="22"/>
        </w:rPr>
        <w:t xml:space="preserve"> 118/2011, predisposto in termini di competenza e cassa, </w:t>
      </w:r>
      <w:proofErr w:type="spellStart"/>
      <w:r w:rsidRPr="00B02998">
        <w:rPr>
          <w:rFonts w:ascii="Arial" w:hAnsi="Arial" w:cs="Arial"/>
          <w:b w:val="0"/>
          <w:bCs w:val="0"/>
          <w:sz w:val="22"/>
          <w:szCs w:val="22"/>
        </w:rPr>
        <w:t>all</w:t>
      </w:r>
      <w:proofErr w:type="spellEnd"/>
      <w:r w:rsidRPr="00B02998">
        <w:rPr>
          <w:rFonts w:ascii="Arial" w:hAnsi="Arial" w:cs="Arial"/>
          <w:b w:val="0"/>
          <w:bCs w:val="0"/>
          <w:sz w:val="22"/>
          <w:szCs w:val="22"/>
        </w:rPr>
        <w:t>. 9 al bilancio - allegato D) della presente Deliberazione.</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rPr>
          <w:rFonts w:ascii="Arial" w:hAnsi="Arial" w:cs="Arial"/>
          <w:bCs/>
          <w:sz w:val="22"/>
        </w:rPr>
      </w:pPr>
      <w:r w:rsidRPr="00B02998">
        <w:rPr>
          <w:rFonts w:ascii="Arial" w:eastAsia="Calibri" w:hAnsi="Arial" w:cs="Arial"/>
          <w:b/>
          <w:sz w:val="22"/>
        </w:rPr>
        <w:t>TENUTO CONTO</w:t>
      </w:r>
      <w:r w:rsidRPr="00B02998">
        <w:rPr>
          <w:rFonts w:ascii="Arial" w:eastAsia="Calibri" w:hAnsi="Arial" w:cs="Arial"/>
          <w:sz w:val="22"/>
        </w:rPr>
        <w:t xml:space="preserve"> che le previsioni di entrata e di spesa sono state allocate in bilancio sulla base delle esigenze dei servizi e degli obiettivi di gestione da perseguire per il triennio</w:t>
      </w:r>
      <w:r w:rsidRPr="00B02998">
        <w:rPr>
          <w:rFonts w:ascii="Arial" w:hAnsi="Arial" w:cs="Arial"/>
          <w:bCs/>
          <w:sz w:val="22"/>
        </w:rPr>
        <w:t xml:space="preserve"> 2023, 2024, 2025</w:t>
      </w:r>
      <w:r w:rsidRPr="00B02998">
        <w:rPr>
          <w:rFonts w:ascii="Arial" w:eastAsia="Calibri" w:hAnsi="Arial" w:cs="Arial"/>
          <w:sz w:val="22"/>
        </w:rPr>
        <w:t>.</w:t>
      </w:r>
    </w:p>
    <w:p w:rsidR="00650BD1" w:rsidRPr="00B02998" w:rsidRDefault="00650BD1" w:rsidP="00650BD1">
      <w:pPr>
        <w:pStyle w:val="Corpodeltesto2"/>
        <w:jc w:val="both"/>
        <w:rPr>
          <w:rFonts w:ascii="Arial" w:hAnsi="Arial" w:cs="Arial"/>
          <w:b w:val="0"/>
          <w:bCs w:val="0"/>
          <w:sz w:val="22"/>
          <w:szCs w:val="22"/>
          <w:highlight w:val="yellow"/>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sz w:val="22"/>
          <w:szCs w:val="22"/>
        </w:rPr>
        <w:t>CONSIDERATO</w:t>
      </w:r>
      <w:r w:rsidRPr="00B02998">
        <w:rPr>
          <w:rFonts w:ascii="Arial" w:hAnsi="Arial" w:cs="Arial"/>
          <w:b w:val="0"/>
          <w:sz w:val="22"/>
          <w:szCs w:val="22"/>
        </w:rPr>
        <w:t xml:space="preserve"> </w:t>
      </w:r>
      <w:r w:rsidRPr="00B02998">
        <w:rPr>
          <w:rFonts w:ascii="Arial" w:hAnsi="Arial" w:cs="Arial"/>
          <w:b w:val="0"/>
          <w:bCs w:val="0"/>
          <w:sz w:val="22"/>
          <w:szCs w:val="22"/>
        </w:rPr>
        <w:t>che:</w:t>
      </w:r>
    </w:p>
    <w:p w:rsidR="00650BD1" w:rsidRPr="00B02998" w:rsidRDefault="00650BD1" w:rsidP="00650BD1">
      <w:pPr>
        <w:pStyle w:val="Corpodeltesto2"/>
        <w:numPr>
          <w:ilvl w:val="0"/>
          <w:numId w:val="6"/>
        </w:numPr>
        <w:jc w:val="both"/>
        <w:rPr>
          <w:rFonts w:ascii="Arial" w:hAnsi="Arial" w:cs="Arial"/>
          <w:b w:val="0"/>
          <w:bCs w:val="0"/>
          <w:sz w:val="22"/>
          <w:szCs w:val="22"/>
        </w:rPr>
      </w:pPr>
      <w:proofErr w:type="gramStart"/>
      <w:r w:rsidRPr="00B02998">
        <w:rPr>
          <w:rFonts w:ascii="Arial" w:hAnsi="Arial" w:cs="Arial"/>
          <w:b w:val="0"/>
          <w:bCs w:val="0"/>
          <w:sz w:val="22"/>
          <w:szCs w:val="22"/>
        </w:rPr>
        <w:t>nel</w:t>
      </w:r>
      <w:proofErr w:type="gramEnd"/>
      <w:r w:rsidRPr="00B02998">
        <w:rPr>
          <w:rFonts w:ascii="Arial" w:hAnsi="Arial" w:cs="Arial"/>
          <w:b w:val="0"/>
          <w:bCs w:val="0"/>
          <w:sz w:val="22"/>
          <w:szCs w:val="22"/>
        </w:rPr>
        <w:t xml:space="preserve"> bilancio di previsione sono state previste, sia in termini di competenza che di cassa, le entrate derivanti dalle attività dei laboratori sulla base</w:t>
      </w:r>
      <w:r w:rsidRPr="00B02998">
        <w:rPr>
          <w:rFonts w:ascii="Arial" w:hAnsi="Arial" w:cs="Arial"/>
          <w:b w:val="0"/>
          <w:sz w:val="22"/>
          <w:szCs w:val="22"/>
        </w:rPr>
        <w:t xml:space="preserve"> delle previsioni finali presunte dell’anno in corso e delle attività ordinarie dell’Agenzia;</w:t>
      </w:r>
    </w:p>
    <w:p w:rsidR="00650BD1" w:rsidRPr="00B02998" w:rsidRDefault="00650BD1" w:rsidP="00650BD1">
      <w:pPr>
        <w:pStyle w:val="Corpodeltesto2"/>
        <w:numPr>
          <w:ilvl w:val="0"/>
          <w:numId w:val="6"/>
        </w:numPr>
        <w:jc w:val="both"/>
        <w:rPr>
          <w:rFonts w:ascii="Arial" w:hAnsi="Arial" w:cs="Arial"/>
          <w:b w:val="0"/>
          <w:bCs w:val="0"/>
          <w:sz w:val="22"/>
          <w:szCs w:val="22"/>
        </w:rPr>
      </w:pPr>
      <w:proofErr w:type="gramStart"/>
      <w:r w:rsidRPr="00B02998">
        <w:rPr>
          <w:rFonts w:ascii="Arial" w:hAnsi="Arial" w:cs="Arial"/>
          <w:b w:val="0"/>
          <w:bCs w:val="0"/>
          <w:sz w:val="22"/>
          <w:szCs w:val="22"/>
        </w:rPr>
        <w:t>sono</w:t>
      </w:r>
      <w:proofErr w:type="gramEnd"/>
      <w:r w:rsidRPr="00B02998">
        <w:rPr>
          <w:rFonts w:ascii="Arial" w:hAnsi="Arial" w:cs="Arial"/>
          <w:b w:val="0"/>
          <w:bCs w:val="0"/>
          <w:sz w:val="22"/>
          <w:szCs w:val="22"/>
        </w:rPr>
        <w:t xml:space="preserve"> state iscritte le somme per con</w:t>
      </w:r>
      <w:r>
        <w:rPr>
          <w:rFonts w:ascii="Arial" w:hAnsi="Arial" w:cs="Arial"/>
          <w:b w:val="0"/>
          <w:bCs w:val="0"/>
          <w:sz w:val="22"/>
          <w:szCs w:val="22"/>
        </w:rPr>
        <w:t>tributi ordinari per l’anno 2023</w:t>
      </w:r>
      <w:r w:rsidRPr="00B02998">
        <w:rPr>
          <w:rFonts w:ascii="Arial" w:hAnsi="Arial" w:cs="Arial"/>
          <w:b w:val="0"/>
          <w:bCs w:val="0"/>
          <w:sz w:val="22"/>
          <w:szCs w:val="22"/>
        </w:rPr>
        <w:t>, di cui all’art. 29 comma 1 lettera a</w:t>
      </w:r>
      <w:r w:rsidRPr="0040779B">
        <w:rPr>
          <w:rFonts w:ascii="Arial" w:hAnsi="Arial" w:cs="Arial"/>
          <w:b w:val="0"/>
          <w:bCs w:val="0"/>
          <w:sz w:val="22"/>
          <w:szCs w:val="22"/>
        </w:rPr>
        <w:t xml:space="preserve">) € 12.496.000,00 e </w:t>
      </w:r>
      <w:proofErr w:type="spellStart"/>
      <w:r w:rsidRPr="0040779B">
        <w:rPr>
          <w:rFonts w:ascii="Arial" w:hAnsi="Arial" w:cs="Arial"/>
          <w:b w:val="0"/>
          <w:bCs w:val="0"/>
          <w:sz w:val="22"/>
          <w:szCs w:val="22"/>
        </w:rPr>
        <w:t>lett</w:t>
      </w:r>
      <w:proofErr w:type="spellEnd"/>
      <w:r w:rsidRPr="0040779B">
        <w:rPr>
          <w:rFonts w:ascii="Arial" w:hAnsi="Arial" w:cs="Arial"/>
          <w:b w:val="0"/>
          <w:bCs w:val="0"/>
          <w:sz w:val="22"/>
          <w:szCs w:val="22"/>
        </w:rPr>
        <w:t>. b) € 750.000,00 destinate al finanziamento sia della spesa corrente per garantire la funzionalità dell’Agenzia</w:t>
      </w:r>
      <w:r w:rsidRPr="00B02998">
        <w:rPr>
          <w:rFonts w:ascii="Arial" w:hAnsi="Arial" w:cs="Arial"/>
          <w:b w:val="0"/>
          <w:bCs w:val="0"/>
          <w:sz w:val="22"/>
          <w:szCs w:val="22"/>
        </w:rPr>
        <w:t xml:space="preserve"> che di investimento per l’acquisto di attrezzature tecnico-scientifiche per le finalità di cui all’art. 1 bis della L.R. 27/2010;</w:t>
      </w:r>
    </w:p>
    <w:p w:rsidR="00650BD1" w:rsidRPr="00B02998" w:rsidRDefault="00650BD1" w:rsidP="00650BD1">
      <w:pPr>
        <w:pStyle w:val="Corpodeltesto2"/>
        <w:numPr>
          <w:ilvl w:val="0"/>
          <w:numId w:val="6"/>
        </w:numPr>
        <w:jc w:val="both"/>
        <w:rPr>
          <w:rFonts w:ascii="Arial" w:hAnsi="Arial" w:cs="Arial"/>
          <w:b w:val="0"/>
          <w:bCs w:val="0"/>
          <w:sz w:val="22"/>
          <w:szCs w:val="22"/>
        </w:rPr>
      </w:pPr>
      <w:proofErr w:type="gramStart"/>
      <w:r w:rsidRPr="00B02998">
        <w:rPr>
          <w:rFonts w:ascii="Arial" w:hAnsi="Arial" w:cs="Arial"/>
          <w:b w:val="0"/>
          <w:sz w:val="22"/>
          <w:szCs w:val="22"/>
        </w:rPr>
        <w:t>sono</w:t>
      </w:r>
      <w:proofErr w:type="gramEnd"/>
      <w:r w:rsidRPr="00B02998">
        <w:rPr>
          <w:rFonts w:ascii="Arial" w:hAnsi="Arial" w:cs="Arial"/>
          <w:b w:val="0"/>
          <w:sz w:val="22"/>
          <w:szCs w:val="22"/>
        </w:rPr>
        <w:t xml:space="preserve"> state inoltre considerate le somme derivanti da progetti, convenzioni, servizi e interessi attivi;</w:t>
      </w:r>
    </w:p>
    <w:p w:rsidR="00650BD1" w:rsidRPr="00B02998" w:rsidRDefault="00650BD1" w:rsidP="00650BD1">
      <w:pPr>
        <w:pStyle w:val="Corpodeltesto2"/>
        <w:numPr>
          <w:ilvl w:val="0"/>
          <w:numId w:val="6"/>
        </w:numPr>
        <w:jc w:val="both"/>
        <w:rPr>
          <w:rFonts w:ascii="Arial" w:hAnsi="Arial" w:cs="Arial"/>
          <w:b w:val="0"/>
          <w:bCs w:val="0"/>
          <w:sz w:val="22"/>
          <w:szCs w:val="22"/>
        </w:rPr>
      </w:pPr>
      <w:proofErr w:type="gramStart"/>
      <w:r w:rsidRPr="00B02998">
        <w:rPr>
          <w:rFonts w:ascii="Arial" w:hAnsi="Arial" w:cs="Arial"/>
          <w:b w:val="0"/>
          <w:bCs w:val="0"/>
          <w:sz w:val="22"/>
          <w:szCs w:val="22"/>
        </w:rPr>
        <w:lastRenderedPageBreak/>
        <w:t>le</w:t>
      </w:r>
      <w:proofErr w:type="gramEnd"/>
      <w:r w:rsidRPr="00B02998">
        <w:rPr>
          <w:rFonts w:ascii="Arial" w:hAnsi="Arial" w:cs="Arial"/>
          <w:b w:val="0"/>
          <w:bCs w:val="0"/>
          <w:sz w:val="22"/>
          <w:szCs w:val="22"/>
        </w:rPr>
        <w:t xml:space="preserve"> entrate per conto terzi e partite di giro corrispondono alle spese per conto terzi e partite di giro;</w:t>
      </w:r>
    </w:p>
    <w:p w:rsidR="00650BD1" w:rsidRPr="00B02998" w:rsidRDefault="00650BD1" w:rsidP="00650BD1">
      <w:pPr>
        <w:pStyle w:val="Corpodeltesto2"/>
        <w:numPr>
          <w:ilvl w:val="0"/>
          <w:numId w:val="6"/>
        </w:numPr>
        <w:jc w:val="both"/>
        <w:rPr>
          <w:rFonts w:ascii="Arial" w:hAnsi="Arial" w:cs="Arial"/>
          <w:b w:val="0"/>
          <w:bCs w:val="0"/>
          <w:sz w:val="22"/>
          <w:szCs w:val="22"/>
        </w:rPr>
      </w:pPr>
      <w:proofErr w:type="gramStart"/>
      <w:r w:rsidRPr="00B02998">
        <w:rPr>
          <w:rFonts w:ascii="Arial" w:hAnsi="Arial" w:cs="Arial"/>
          <w:b w:val="0"/>
          <w:bCs w:val="0"/>
          <w:sz w:val="22"/>
          <w:szCs w:val="22"/>
        </w:rPr>
        <w:t>nella</w:t>
      </w:r>
      <w:proofErr w:type="gramEnd"/>
      <w:r w:rsidRPr="00B02998">
        <w:rPr>
          <w:rFonts w:ascii="Arial" w:hAnsi="Arial" w:cs="Arial"/>
          <w:b w:val="0"/>
          <w:bCs w:val="0"/>
          <w:sz w:val="22"/>
          <w:szCs w:val="22"/>
        </w:rPr>
        <w:t xml:space="preserve"> determinazione delle previsioni si è tenuto conto delle disposizioni di cui alla L. 122/2010.</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Nessunaspaziatura"/>
        <w:tabs>
          <w:tab w:val="left" w:pos="9600"/>
        </w:tabs>
        <w:ind w:right="-1"/>
        <w:contextualSpacing/>
        <w:jc w:val="both"/>
        <w:rPr>
          <w:rFonts w:ascii="Arial" w:hAnsi="Arial" w:cs="Arial"/>
          <w:bCs/>
          <w:sz w:val="22"/>
          <w:szCs w:val="22"/>
          <w:lang w:val="it-IT"/>
        </w:rPr>
      </w:pPr>
      <w:r w:rsidRPr="00B02998">
        <w:rPr>
          <w:rFonts w:ascii="Arial" w:hAnsi="Arial" w:cs="Arial"/>
          <w:b/>
          <w:bCs/>
          <w:sz w:val="22"/>
          <w:szCs w:val="22"/>
          <w:lang w:val="it-IT"/>
        </w:rPr>
        <w:t>DATO ATTO</w:t>
      </w:r>
      <w:r w:rsidRPr="00B02998">
        <w:rPr>
          <w:rFonts w:ascii="Arial" w:hAnsi="Arial" w:cs="Arial"/>
          <w:bCs/>
          <w:sz w:val="22"/>
          <w:szCs w:val="22"/>
          <w:lang w:val="it-IT"/>
        </w:rPr>
        <w:t xml:space="preserve"> che:</w:t>
      </w:r>
    </w:p>
    <w:p w:rsidR="00650BD1" w:rsidRPr="00B02998" w:rsidRDefault="00650BD1" w:rsidP="00650BD1">
      <w:pPr>
        <w:pStyle w:val="Nessunaspaziatura"/>
        <w:numPr>
          <w:ilvl w:val="0"/>
          <w:numId w:val="7"/>
        </w:numPr>
        <w:tabs>
          <w:tab w:val="left" w:pos="9600"/>
        </w:tabs>
        <w:ind w:right="-1"/>
        <w:contextualSpacing/>
        <w:jc w:val="both"/>
        <w:rPr>
          <w:rFonts w:ascii="Arial" w:hAnsi="Arial" w:cs="Arial"/>
          <w:bCs/>
          <w:sz w:val="22"/>
          <w:szCs w:val="22"/>
          <w:lang w:val="it-IT"/>
        </w:rPr>
      </w:pPr>
      <w:proofErr w:type="gramStart"/>
      <w:r w:rsidRPr="00B02998">
        <w:rPr>
          <w:rFonts w:ascii="Arial" w:hAnsi="Arial" w:cs="Arial"/>
          <w:bCs/>
          <w:sz w:val="22"/>
          <w:szCs w:val="22"/>
          <w:lang w:val="it-IT"/>
        </w:rPr>
        <w:t>le</w:t>
      </w:r>
      <w:proofErr w:type="gramEnd"/>
      <w:r>
        <w:rPr>
          <w:rFonts w:ascii="Arial" w:hAnsi="Arial" w:cs="Arial"/>
          <w:bCs/>
          <w:sz w:val="22"/>
          <w:szCs w:val="22"/>
          <w:lang w:val="it-IT"/>
        </w:rPr>
        <w:t xml:space="preserve"> </w:t>
      </w:r>
      <w:r w:rsidRPr="00B02998">
        <w:rPr>
          <w:rFonts w:ascii="Arial" w:hAnsi="Arial" w:cs="Arial"/>
          <w:bCs/>
          <w:sz w:val="22"/>
          <w:szCs w:val="22"/>
          <w:lang w:val="it-IT"/>
        </w:rPr>
        <w:t>spese del personale dipendente, dirigenziale e del comparto a tempo indeterminato e determinato, per lo svolgimento delle attività istituzionali programmate, in esecuzione dell’appli</w:t>
      </w:r>
      <w:r>
        <w:rPr>
          <w:rFonts w:ascii="Arial" w:hAnsi="Arial" w:cs="Arial"/>
          <w:bCs/>
          <w:sz w:val="22"/>
          <w:szCs w:val="22"/>
          <w:lang w:val="it-IT"/>
        </w:rPr>
        <w:t xml:space="preserve">cazione dei CCNL del comparto </w:t>
      </w:r>
      <w:r w:rsidRPr="00113F3C">
        <w:rPr>
          <w:rFonts w:ascii="Arial" w:hAnsi="Arial" w:cs="Arial"/>
          <w:bCs/>
          <w:sz w:val="22"/>
          <w:szCs w:val="22"/>
          <w:lang w:val="it-IT"/>
        </w:rPr>
        <w:t>2019/2021</w:t>
      </w:r>
      <w:r w:rsidRPr="00B02998">
        <w:rPr>
          <w:rFonts w:ascii="Arial" w:hAnsi="Arial" w:cs="Arial"/>
          <w:bCs/>
          <w:sz w:val="22"/>
          <w:szCs w:val="22"/>
          <w:lang w:val="it-IT"/>
        </w:rPr>
        <w:t xml:space="preserve">, hanno subito </w:t>
      </w:r>
      <w:r w:rsidRPr="006301CE">
        <w:rPr>
          <w:rFonts w:ascii="Arial" w:hAnsi="Arial" w:cs="Arial"/>
          <w:bCs/>
          <w:sz w:val="22"/>
          <w:szCs w:val="22"/>
          <w:lang w:val="it-IT"/>
        </w:rPr>
        <w:t xml:space="preserve">un </w:t>
      </w:r>
      <w:r w:rsidRPr="00113F3C">
        <w:rPr>
          <w:rFonts w:ascii="Arial" w:hAnsi="Arial" w:cs="Arial"/>
          <w:bCs/>
          <w:sz w:val="22"/>
          <w:szCs w:val="22"/>
          <w:lang w:val="it-IT"/>
        </w:rPr>
        <w:t xml:space="preserve">incremento di circa € </w:t>
      </w:r>
      <w:r>
        <w:rPr>
          <w:rFonts w:ascii="Arial" w:hAnsi="Arial" w:cs="Arial"/>
          <w:bCs/>
          <w:sz w:val="22"/>
          <w:szCs w:val="22"/>
          <w:lang w:val="it-IT"/>
        </w:rPr>
        <w:t>250</w:t>
      </w:r>
      <w:r w:rsidRPr="00113F3C">
        <w:rPr>
          <w:rFonts w:ascii="Arial" w:hAnsi="Arial" w:cs="Arial"/>
          <w:bCs/>
          <w:sz w:val="22"/>
          <w:szCs w:val="22"/>
          <w:lang w:val="it-IT"/>
        </w:rPr>
        <w:t>.000,00</w:t>
      </w:r>
      <w:r w:rsidRPr="00B02998">
        <w:rPr>
          <w:rFonts w:ascii="Arial" w:hAnsi="Arial" w:cs="Arial"/>
          <w:bCs/>
          <w:sz w:val="22"/>
          <w:szCs w:val="22"/>
          <w:lang w:val="it-IT"/>
        </w:rPr>
        <w:t>;</w:t>
      </w:r>
    </w:p>
    <w:p w:rsidR="00650BD1" w:rsidRDefault="00650BD1" w:rsidP="00650BD1">
      <w:pPr>
        <w:pStyle w:val="Nessunaspaziatura"/>
        <w:numPr>
          <w:ilvl w:val="0"/>
          <w:numId w:val="7"/>
        </w:numPr>
        <w:tabs>
          <w:tab w:val="left" w:pos="9600"/>
        </w:tabs>
        <w:ind w:right="-1"/>
        <w:contextualSpacing/>
        <w:jc w:val="both"/>
        <w:rPr>
          <w:rFonts w:ascii="Arial" w:hAnsi="Arial" w:cs="Arial"/>
          <w:bCs/>
          <w:sz w:val="22"/>
          <w:szCs w:val="22"/>
          <w:lang w:val="it-IT"/>
        </w:rPr>
      </w:pPr>
      <w:proofErr w:type="gramStart"/>
      <w:r w:rsidRPr="00B02998">
        <w:rPr>
          <w:rFonts w:ascii="Arial" w:hAnsi="Arial" w:cs="Arial"/>
          <w:bCs/>
          <w:sz w:val="22"/>
          <w:szCs w:val="22"/>
          <w:lang w:val="it-IT"/>
        </w:rPr>
        <w:t>i</w:t>
      </w:r>
      <w:proofErr w:type="gramEnd"/>
      <w:r w:rsidRPr="00B02998">
        <w:rPr>
          <w:rFonts w:ascii="Arial" w:hAnsi="Arial" w:cs="Arial"/>
          <w:bCs/>
          <w:sz w:val="22"/>
          <w:szCs w:val="22"/>
          <w:lang w:val="it-IT"/>
        </w:rPr>
        <w:t xml:space="preserve"> fondi relativi alle condizioni di lavoro e alla </w:t>
      </w:r>
      <w:proofErr w:type="spellStart"/>
      <w:r w:rsidRPr="00B02998">
        <w:rPr>
          <w:rFonts w:ascii="Arial" w:hAnsi="Arial" w:cs="Arial"/>
          <w:bCs/>
          <w:sz w:val="22"/>
          <w:szCs w:val="22"/>
          <w:lang w:val="it-IT"/>
        </w:rPr>
        <w:t>premialità</w:t>
      </w:r>
      <w:proofErr w:type="spellEnd"/>
      <w:r w:rsidRPr="00B02998">
        <w:rPr>
          <w:rFonts w:ascii="Arial" w:hAnsi="Arial" w:cs="Arial"/>
          <w:bCs/>
          <w:sz w:val="22"/>
          <w:szCs w:val="22"/>
          <w:lang w:val="it-IT"/>
        </w:rPr>
        <w:t xml:space="preserve">, del personale del comparto sono </w:t>
      </w:r>
      <w:r w:rsidRPr="000B1CD4">
        <w:rPr>
          <w:rFonts w:ascii="Arial" w:hAnsi="Arial" w:cs="Arial"/>
          <w:bCs/>
          <w:sz w:val="22"/>
          <w:szCs w:val="22"/>
          <w:lang w:val="it-IT"/>
        </w:rPr>
        <w:t>stati adeguati agli incrementi contrattuali con un aumento di spesa di circa € 100.000,00;</w:t>
      </w:r>
    </w:p>
    <w:p w:rsidR="00650BD1" w:rsidRPr="000B1CD4" w:rsidRDefault="00650BD1" w:rsidP="00650BD1">
      <w:pPr>
        <w:pStyle w:val="Nessunaspaziatura"/>
        <w:numPr>
          <w:ilvl w:val="0"/>
          <w:numId w:val="7"/>
        </w:numPr>
        <w:tabs>
          <w:tab w:val="left" w:pos="9600"/>
        </w:tabs>
        <w:ind w:right="-1"/>
        <w:contextualSpacing/>
        <w:jc w:val="both"/>
        <w:rPr>
          <w:rFonts w:ascii="Arial" w:hAnsi="Arial" w:cs="Arial"/>
          <w:bCs/>
          <w:sz w:val="22"/>
          <w:szCs w:val="22"/>
          <w:lang w:val="it-IT"/>
        </w:rPr>
      </w:pPr>
      <w:proofErr w:type="gramStart"/>
      <w:r>
        <w:rPr>
          <w:rFonts w:ascii="Arial" w:hAnsi="Arial" w:cs="Arial"/>
          <w:bCs/>
          <w:sz w:val="22"/>
          <w:szCs w:val="22"/>
          <w:lang w:val="it-IT"/>
        </w:rPr>
        <w:t>il</w:t>
      </w:r>
      <w:proofErr w:type="gramEnd"/>
      <w:r>
        <w:rPr>
          <w:rFonts w:ascii="Arial" w:hAnsi="Arial" w:cs="Arial"/>
          <w:bCs/>
          <w:sz w:val="22"/>
          <w:szCs w:val="22"/>
          <w:lang w:val="it-IT"/>
        </w:rPr>
        <w:t xml:space="preserve"> CCNL della dirigenza è in fase di approvazione pertanto nell’anno 2023 sarà necessario adeguare gli stanziamenti con maggiori risorse.</w:t>
      </w:r>
    </w:p>
    <w:p w:rsidR="00650BD1" w:rsidRPr="00B02998" w:rsidRDefault="00650BD1" w:rsidP="00650BD1">
      <w:pPr>
        <w:pStyle w:val="Nessunaspaziatura"/>
        <w:tabs>
          <w:tab w:val="left" w:pos="9600"/>
        </w:tabs>
        <w:ind w:right="851"/>
        <w:jc w:val="both"/>
        <w:rPr>
          <w:rFonts w:ascii="Arial" w:hAnsi="Arial" w:cs="Arial"/>
          <w:w w:val="105"/>
          <w:sz w:val="22"/>
          <w:szCs w:val="22"/>
          <w:lang w:val="it-IT"/>
        </w:rPr>
      </w:pPr>
    </w:p>
    <w:p w:rsidR="00650BD1" w:rsidRPr="00B02998" w:rsidRDefault="00650BD1" w:rsidP="00650BD1">
      <w:pPr>
        <w:pStyle w:val="TxBrp3"/>
        <w:tabs>
          <w:tab w:val="clear" w:pos="300"/>
        </w:tabs>
        <w:spacing w:line="240" w:lineRule="auto"/>
        <w:ind w:left="0" w:firstLine="0"/>
        <w:jc w:val="both"/>
        <w:rPr>
          <w:rFonts w:ascii="Arial" w:hAnsi="Arial" w:cs="Arial"/>
          <w:sz w:val="22"/>
          <w:szCs w:val="22"/>
          <w:lang w:val="it-IT"/>
        </w:rPr>
      </w:pPr>
      <w:r w:rsidRPr="00B02998">
        <w:rPr>
          <w:rFonts w:ascii="Arial" w:hAnsi="Arial" w:cs="Arial"/>
          <w:b/>
          <w:caps/>
          <w:sz w:val="22"/>
          <w:szCs w:val="22"/>
          <w:lang w:val="it-IT"/>
        </w:rPr>
        <w:t xml:space="preserve">CONSIDERATO </w:t>
      </w:r>
      <w:r w:rsidRPr="00B02998">
        <w:rPr>
          <w:rFonts w:ascii="Arial" w:hAnsi="Arial" w:cs="Arial"/>
          <w:sz w:val="22"/>
          <w:szCs w:val="22"/>
          <w:lang w:val="it-IT"/>
        </w:rPr>
        <w:t>che:</w:t>
      </w:r>
    </w:p>
    <w:p w:rsidR="00650BD1" w:rsidRPr="000B1CD4" w:rsidRDefault="00650BD1" w:rsidP="00650BD1">
      <w:pPr>
        <w:pStyle w:val="TxBrp3"/>
        <w:numPr>
          <w:ilvl w:val="0"/>
          <w:numId w:val="8"/>
        </w:numPr>
        <w:tabs>
          <w:tab w:val="clear" w:pos="300"/>
        </w:tabs>
        <w:spacing w:line="240" w:lineRule="auto"/>
        <w:jc w:val="both"/>
        <w:rPr>
          <w:rFonts w:ascii="Arial" w:hAnsi="Arial" w:cs="Arial"/>
          <w:b/>
          <w:caps/>
          <w:sz w:val="22"/>
          <w:szCs w:val="22"/>
          <w:lang w:val="it-IT"/>
        </w:rPr>
      </w:pPr>
      <w:r w:rsidRPr="00B02998">
        <w:rPr>
          <w:rFonts w:ascii="Arial" w:hAnsi="Arial" w:cs="Arial"/>
          <w:caps/>
          <w:sz w:val="22"/>
          <w:szCs w:val="22"/>
          <w:lang w:val="it-IT"/>
        </w:rPr>
        <w:t>i</w:t>
      </w:r>
      <w:r w:rsidRPr="00B02998">
        <w:rPr>
          <w:rFonts w:ascii="Arial" w:hAnsi="Arial" w:cs="Arial"/>
          <w:sz w:val="22"/>
          <w:szCs w:val="22"/>
          <w:lang w:val="it-IT"/>
        </w:rPr>
        <w:t>l finanziamento annuale erogato dalla Regione Abruzzo è dato dal trasferimento della quota del fondo sanitario per € 12.496.000,00 e dal contributo di funzionamento con legge di bilancio per € 750.000,00 e che tali importi rimasti immutati da oltre dieci anni, se non addirittura ridotti in passato (vedasi nel caso specifico il contributo di funzionamento che è stato ridotto da € 1.500.000,00 a € 750.000,00);</w:t>
      </w:r>
    </w:p>
    <w:p w:rsidR="00650BD1" w:rsidRPr="00B02998" w:rsidRDefault="00650BD1" w:rsidP="00650BD1">
      <w:pPr>
        <w:pStyle w:val="TxBrp3"/>
        <w:numPr>
          <w:ilvl w:val="0"/>
          <w:numId w:val="8"/>
        </w:numPr>
        <w:tabs>
          <w:tab w:val="clear" w:pos="300"/>
        </w:tabs>
        <w:spacing w:line="240" w:lineRule="auto"/>
        <w:jc w:val="both"/>
        <w:rPr>
          <w:rFonts w:ascii="Arial" w:hAnsi="Arial" w:cs="Arial"/>
          <w:b/>
          <w:caps/>
          <w:sz w:val="22"/>
          <w:szCs w:val="22"/>
          <w:lang w:val="it-IT"/>
        </w:rPr>
      </w:pPr>
      <w:proofErr w:type="gramStart"/>
      <w:r w:rsidRPr="00B02998">
        <w:rPr>
          <w:rFonts w:ascii="Arial" w:hAnsi="Arial" w:cs="Arial"/>
          <w:sz w:val="22"/>
          <w:szCs w:val="22"/>
          <w:lang w:val="it-IT"/>
        </w:rPr>
        <w:t>a</w:t>
      </w:r>
      <w:proofErr w:type="gramEnd"/>
      <w:r w:rsidRPr="00B02998">
        <w:rPr>
          <w:rFonts w:ascii="Arial" w:hAnsi="Arial" w:cs="Arial"/>
          <w:sz w:val="22"/>
          <w:szCs w:val="22"/>
          <w:lang w:val="it-IT"/>
        </w:rPr>
        <w:t xml:space="preserve"> seguito delle aumentate attività eseguite dall’Agenzia, siccome richieste dalle leggi regionali e nazionali (L.R. 64/98 e L. 132/2011), non è conseguito alcun adeguamento di risorse finanziarie trasferite da parte della Regione Abruzzo;</w:t>
      </w:r>
    </w:p>
    <w:p w:rsidR="00650BD1" w:rsidRPr="00B02998" w:rsidRDefault="00650BD1" w:rsidP="00650BD1">
      <w:pPr>
        <w:pStyle w:val="TxBrp3"/>
        <w:numPr>
          <w:ilvl w:val="0"/>
          <w:numId w:val="8"/>
        </w:numPr>
        <w:tabs>
          <w:tab w:val="clear" w:pos="300"/>
        </w:tabs>
        <w:spacing w:line="240" w:lineRule="auto"/>
        <w:jc w:val="both"/>
        <w:rPr>
          <w:rFonts w:ascii="Arial" w:hAnsi="Arial" w:cs="Arial"/>
          <w:b/>
          <w:caps/>
          <w:sz w:val="22"/>
          <w:szCs w:val="22"/>
          <w:lang w:val="it-IT"/>
        </w:rPr>
      </w:pPr>
      <w:proofErr w:type="gramStart"/>
      <w:r w:rsidRPr="00113F3C">
        <w:rPr>
          <w:rFonts w:ascii="Arial" w:hAnsi="Arial" w:cs="Arial"/>
          <w:sz w:val="22"/>
          <w:szCs w:val="22"/>
          <w:lang w:val="it-IT"/>
        </w:rPr>
        <w:t>la</w:t>
      </w:r>
      <w:proofErr w:type="gramEnd"/>
      <w:r w:rsidRPr="00113F3C">
        <w:rPr>
          <w:rFonts w:ascii="Arial" w:hAnsi="Arial" w:cs="Arial"/>
          <w:sz w:val="22"/>
          <w:szCs w:val="22"/>
          <w:lang w:val="it-IT"/>
        </w:rPr>
        <w:t xml:space="preserve"> programmazione per le assunzioni di personale nel rispetto della Legge n. 208/2015 e prevista dal Piano Triennale di Fabbisogno del Personale, per gli anni 2023-2024, necessaria a garantire il turn-over del personale del comparto e della dirigenza, non potrà essere</w:t>
      </w:r>
      <w:r>
        <w:rPr>
          <w:rFonts w:ascii="Arial" w:hAnsi="Arial" w:cs="Arial"/>
          <w:sz w:val="22"/>
          <w:szCs w:val="22"/>
          <w:lang w:val="it-IT"/>
        </w:rPr>
        <w:t xml:space="preserve"> totalmente</w:t>
      </w:r>
      <w:r w:rsidRPr="00113F3C">
        <w:rPr>
          <w:rFonts w:ascii="Arial" w:hAnsi="Arial" w:cs="Arial"/>
          <w:sz w:val="22"/>
          <w:szCs w:val="22"/>
          <w:lang w:val="it-IT"/>
        </w:rPr>
        <w:t xml:space="preserve"> attuato per la mancanza di risorse finanziarie consolidate</w:t>
      </w:r>
      <w:r w:rsidRPr="00B02998">
        <w:rPr>
          <w:rFonts w:ascii="Arial" w:hAnsi="Arial" w:cs="Arial"/>
          <w:sz w:val="22"/>
          <w:szCs w:val="22"/>
          <w:lang w:val="it-IT"/>
        </w:rPr>
        <w:t>;</w:t>
      </w:r>
    </w:p>
    <w:p w:rsidR="00650BD1" w:rsidRPr="00B02998" w:rsidRDefault="00650BD1" w:rsidP="00650BD1">
      <w:pPr>
        <w:pStyle w:val="TxBrp3"/>
        <w:numPr>
          <w:ilvl w:val="0"/>
          <w:numId w:val="8"/>
        </w:numPr>
        <w:tabs>
          <w:tab w:val="clear" w:pos="300"/>
        </w:tabs>
        <w:spacing w:line="240" w:lineRule="auto"/>
        <w:jc w:val="both"/>
        <w:rPr>
          <w:rFonts w:ascii="Arial" w:hAnsi="Arial" w:cs="Arial"/>
          <w:b/>
          <w:caps/>
          <w:sz w:val="22"/>
          <w:szCs w:val="22"/>
          <w:lang w:val="it-IT"/>
        </w:rPr>
      </w:pPr>
      <w:proofErr w:type="gramStart"/>
      <w:r w:rsidRPr="00B02998">
        <w:rPr>
          <w:rFonts w:ascii="Arial" w:hAnsi="Arial" w:cs="Arial"/>
          <w:sz w:val="22"/>
          <w:szCs w:val="22"/>
          <w:lang w:val="it-IT"/>
        </w:rPr>
        <w:t>nel</w:t>
      </w:r>
      <w:proofErr w:type="gramEnd"/>
      <w:r w:rsidRPr="00B02998">
        <w:rPr>
          <w:rFonts w:ascii="Arial" w:hAnsi="Arial" w:cs="Arial"/>
          <w:sz w:val="22"/>
          <w:szCs w:val="22"/>
          <w:lang w:val="it-IT"/>
        </w:rPr>
        <w:t xml:space="preserve"> rispetto di quanto stabilito dal </w:t>
      </w:r>
      <w:proofErr w:type="spellStart"/>
      <w:r w:rsidRPr="00B02998">
        <w:rPr>
          <w:rFonts w:ascii="Arial" w:hAnsi="Arial" w:cs="Arial"/>
          <w:sz w:val="22"/>
          <w:szCs w:val="22"/>
          <w:lang w:val="it-IT"/>
        </w:rPr>
        <w:t>D.Lgs.</w:t>
      </w:r>
      <w:proofErr w:type="spellEnd"/>
      <w:r w:rsidRPr="00B02998">
        <w:rPr>
          <w:rFonts w:ascii="Arial" w:hAnsi="Arial" w:cs="Arial"/>
          <w:sz w:val="22"/>
          <w:szCs w:val="22"/>
          <w:lang w:val="it-IT"/>
        </w:rPr>
        <w:t xml:space="preserve"> 165/2001 il programma delle assunzioni può essere realizzato solo ed esclusivamente con la coerenza della programmazione finanziaria e di bilancio proprio per garantire gli equilibri di bilancio stesso;</w:t>
      </w:r>
    </w:p>
    <w:p w:rsidR="00650BD1" w:rsidRPr="00B02998" w:rsidRDefault="00650BD1" w:rsidP="00650BD1">
      <w:pPr>
        <w:pStyle w:val="TxBrp3"/>
        <w:numPr>
          <w:ilvl w:val="0"/>
          <w:numId w:val="8"/>
        </w:numPr>
        <w:tabs>
          <w:tab w:val="clear" w:pos="300"/>
        </w:tabs>
        <w:spacing w:line="240" w:lineRule="auto"/>
        <w:jc w:val="both"/>
        <w:rPr>
          <w:rFonts w:ascii="Arial" w:hAnsi="Arial" w:cs="Arial"/>
          <w:b/>
          <w:caps/>
          <w:sz w:val="22"/>
          <w:szCs w:val="22"/>
          <w:lang w:val="it-IT"/>
        </w:rPr>
      </w:pPr>
      <w:proofErr w:type="gramStart"/>
      <w:r w:rsidRPr="00B02998">
        <w:rPr>
          <w:rFonts w:ascii="Arial" w:hAnsi="Arial" w:cs="Arial"/>
          <w:sz w:val="22"/>
          <w:szCs w:val="22"/>
          <w:lang w:val="it-IT"/>
        </w:rPr>
        <w:t>la</w:t>
      </w:r>
      <w:proofErr w:type="gramEnd"/>
      <w:r w:rsidRPr="00B02998">
        <w:rPr>
          <w:rFonts w:ascii="Arial" w:hAnsi="Arial" w:cs="Arial"/>
          <w:sz w:val="22"/>
          <w:szCs w:val="22"/>
          <w:lang w:val="it-IT"/>
        </w:rPr>
        <w:t xml:space="preserve"> programmazione delle attività proposta potrà essere realizzata solo con il rispetto dell’ottimizzazione delle risorse finanziarie, tecniche ed umane e pertanto con l’attuazione del programma delle assunzioni così come approvato.</w:t>
      </w:r>
    </w:p>
    <w:p w:rsidR="00650BD1" w:rsidRPr="00B02998" w:rsidRDefault="00650BD1" w:rsidP="00650BD1">
      <w:pPr>
        <w:pStyle w:val="TxBrp3"/>
        <w:tabs>
          <w:tab w:val="clear" w:pos="300"/>
        </w:tabs>
        <w:spacing w:line="240" w:lineRule="auto"/>
        <w:ind w:left="0" w:firstLine="0"/>
        <w:jc w:val="both"/>
        <w:rPr>
          <w:rFonts w:ascii="Arial" w:hAnsi="Arial" w:cs="Arial"/>
          <w:caps/>
          <w:sz w:val="22"/>
          <w:szCs w:val="22"/>
          <w:lang w:val="it-IT"/>
        </w:rPr>
      </w:pPr>
    </w:p>
    <w:p w:rsidR="00650BD1" w:rsidRDefault="00650BD1" w:rsidP="00650BD1">
      <w:pPr>
        <w:pStyle w:val="TxBrp3"/>
        <w:tabs>
          <w:tab w:val="clear" w:pos="300"/>
        </w:tabs>
        <w:spacing w:line="240" w:lineRule="auto"/>
        <w:ind w:left="0" w:firstLine="0"/>
        <w:jc w:val="both"/>
        <w:rPr>
          <w:rFonts w:ascii="Arial" w:hAnsi="Arial" w:cs="Arial"/>
          <w:sz w:val="22"/>
          <w:szCs w:val="22"/>
          <w:lang w:val="it-IT"/>
        </w:rPr>
      </w:pPr>
      <w:r w:rsidRPr="00B02998">
        <w:rPr>
          <w:rFonts w:ascii="Arial" w:hAnsi="Arial" w:cs="Arial"/>
          <w:b/>
          <w:sz w:val="22"/>
          <w:szCs w:val="22"/>
          <w:lang w:val="it-IT"/>
        </w:rPr>
        <w:t>DATO ATTO</w:t>
      </w:r>
      <w:r w:rsidRPr="00B02998">
        <w:rPr>
          <w:rFonts w:ascii="Arial" w:hAnsi="Arial" w:cs="Arial"/>
          <w:sz w:val="22"/>
          <w:szCs w:val="22"/>
          <w:lang w:val="it-IT"/>
        </w:rPr>
        <w:t xml:space="preserve"> che </w:t>
      </w:r>
      <w:r>
        <w:rPr>
          <w:rFonts w:ascii="Arial" w:hAnsi="Arial" w:cs="Arial"/>
          <w:sz w:val="22"/>
          <w:szCs w:val="22"/>
          <w:lang w:val="it-IT"/>
        </w:rPr>
        <w:t>la proposta del bila</w:t>
      </w:r>
      <w:r w:rsidRPr="00B02998">
        <w:rPr>
          <w:rFonts w:ascii="Arial" w:hAnsi="Arial" w:cs="Arial"/>
          <w:sz w:val="22"/>
          <w:szCs w:val="22"/>
          <w:lang w:val="it-IT"/>
        </w:rPr>
        <w:t xml:space="preserve">ncio di previsione </w:t>
      </w:r>
      <w:r>
        <w:rPr>
          <w:rFonts w:ascii="Arial" w:hAnsi="Arial" w:cs="Arial"/>
          <w:sz w:val="22"/>
          <w:szCs w:val="22"/>
          <w:lang w:val="it-IT"/>
        </w:rPr>
        <w:t xml:space="preserve">non consente il pieno turn over della capacità </w:t>
      </w:r>
      <w:proofErr w:type="spellStart"/>
      <w:r>
        <w:rPr>
          <w:rFonts w:ascii="Arial" w:hAnsi="Arial" w:cs="Arial"/>
          <w:sz w:val="22"/>
          <w:szCs w:val="22"/>
          <w:lang w:val="it-IT"/>
        </w:rPr>
        <w:t>assunzionale</w:t>
      </w:r>
      <w:proofErr w:type="spellEnd"/>
      <w:r>
        <w:rPr>
          <w:rFonts w:ascii="Arial" w:hAnsi="Arial" w:cs="Arial"/>
          <w:sz w:val="22"/>
          <w:szCs w:val="22"/>
          <w:lang w:val="it-IT"/>
        </w:rPr>
        <w:t xml:space="preserve"> dell’Agenzia, in quanto</w:t>
      </w:r>
      <w:r w:rsidRPr="00B02998">
        <w:rPr>
          <w:rFonts w:ascii="Arial" w:hAnsi="Arial" w:cs="Arial"/>
          <w:sz w:val="22"/>
          <w:szCs w:val="22"/>
          <w:lang w:val="it-IT"/>
        </w:rPr>
        <w:t xml:space="preserve"> </w:t>
      </w:r>
      <w:r>
        <w:rPr>
          <w:rFonts w:ascii="Arial" w:hAnsi="Arial" w:cs="Arial"/>
          <w:sz w:val="22"/>
          <w:szCs w:val="22"/>
          <w:lang w:val="it-IT"/>
        </w:rPr>
        <w:t>le risorse finanziarie consolidate</w:t>
      </w:r>
      <w:r w:rsidRPr="00B02998">
        <w:rPr>
          <w:rFonts w:ascii="Arial" w:hAnsi="Arial" w:cs="Arial"/>
          <w:sz w:val="22"/>
          <w:szCs w:val="22"/>
          <w:lang w:val="it-IT"/>
        </w:rPr>
        <w:t xml:space="preserve"> </w:t>
      </w:r>
      <w:r>
        <w:rPr>
          <w:rFonts w:ascii="Arial" w:hAnsi="Arial" w:cs="Arial"/>
          <w:sz w:val="22"/>
          <w:szCs w:val="22"/>
          <w:lang w:val="it-IT"/>
        </w:rPr>
        <w:t xml:space="preserve">sono state utilizzate per </w:t>
      </w:r>
      <w:r w:rsidRPr="00B02998">
        <w:rPr>
          <w:rFonts w:ascii="Arial" w:hAnsi="Arial" w:cs="Arial"/>
          <w:sz w:val="22"/>
          <w:szCs w:val="22"/>
          <w:lang w:val="it-IT"/>
        </w:rPr>
        <w:t>garantire gli equilibri di bilancio e il necessario stanziamento dei capitoli di spesa per il funzionamento dell’Agenzia</w:t>
      </w:r>
      <w:r>
        <w:rPr>
          <w:rFonts w:ascii="Arial" w:hAnsi="Arial" w:cs="Arial"/>
          <w:sz w:val="22"/>
          <w:szCs w:val="22"/>
          <w:lang w:val="it-IT"/>
        </w:rPr>
        <w:t xml:space="preserve">. </w:t>
      </w:r>
    </w:p>
    <w:p w:rsidR="00650BD1" w:rsidRPr="00B02998" w:rsidRDefault="00650BD1" w:rsidP="00650BD1">
      <w:pPr>
        <w:pStyle w:val="TxBrp3"/>
        <w:tabs>
          <w:tab w:val="clear" w:pos="300"/>
        </w:tabs>
        <w:spacing w:line="240" w:lineRule="auto"/>
        <w:ind w:left="0" w:firstLine="0"/>
        <w:jc w:val="both"/>
        <w:rPr>
          <w:rFonts w:ascii="Arial" w:hAnsi="Arial" w:cs="Arial"/>
          <w:b/>
          <w:caps/>
          <w:sz w:val="22"/>
          <w:szCs w:val="22"/>
          <w:lang w:val="it-IT"/>
        </w:rPr>
      </w:pPr>
    </w:p>
    <w:p w:rsidR="00650BD1" w:rsidRPr="00B02998" w:rsidRDefault="00650BD1" w:rsidP="00650BD1">
      <w:pPr>
        <w:pStyle w:val="TxBrp3"/>
        <w:tabs>
          <w:tab w:val="clear" w:pos="300"/>
        </w:tabs>
        <w:spacing w:line="240" w:lineRule="auto"/>
        <w:ind w:left="0" w:firstLine="0"/>
        <w:jc w:val="both"/>
        <w:rPr>
          <w:rFonts w:ascii="Arial" w:hAnsi="Arial" w:cs="Arial"/>
          <w:sz w:val="22"/>
          <w:szCs w:val="22"/>
          <w:lang w:val="it-IT"/>
        </w:rPr>
      </w:pPr>
      <w:r w:rsidRPr="00D3325B">
        <w:rPr>
          <w:rFonts w:ascii="Arial" w:hAnsi="Arial" w:cs="Arial"/>
          <w:b/>
          <w:caps/>
          <w:sz w:val="22"/>
          <w:szCs w:val="22"/>
          <w:lang w:val="it-IT"/>
        </w:rPr>
        <w:t>ritenuto</w:t>
      </w:r>
      <w:r w:rsidRPr="00D3325B">
        <w:rPr>
          <w:rFonts w:ascii="Arial" w:hAnsi="Arial" w:cs="Arial"/>
          <w:sz w:val="22"/>
          <w:szCs w:val="22"/>
          <w:lang w:val="it-IT"/>
        </w:rPr>
        <w:t xml:space="preserve">, pertanto, che il presente atto di programmazione economico – finanziaria delle attività dell’Agenzia vale, a tutti gli effetti, quale richiesta formale alla Regione Abruzzo per incrementare i trasferimenti di disponibilità finanziarie, al fine di garantire a pieno turn over del personale e il regolare svolgimento delle attività istituzionali dell’Agenzia che costituiscono la propria </w:t>
      </w:r>
      <w:proofErr w:type="spellStart"/>
      <w:r w:rsidRPr="00D3325B">
        <w:rPr>
          <w:rFonts w:ascii="Arial" w:hAnsi="Arial" w:cs="Arial"/>
          <w:sz w:val="22"/>
          <w:szCs w:val="22"/>
          <w:lang w:val="it-IT"/>
        </w:rPr>
        <w:t>mission</w:t>
      </w:r>
      <w:proofErr w:type="spellEnd"/>
      <w:r w:rsidRPr="00D3325B">
        <w:rPr>
          <w:rFonts w:ascii="Arial" w:hAnsi="Arial" w:cs="Arial"/>
          <w:sz w:val="22"/>
          <w:szCs w:val="22"/>
          <w:lang w:val="it-IT"/>
        </w:rPr>
        <w:t xml:space="preserve"> così come già evidenziato in precedenti incontri istituzionali.</w:t>
      </w:r>
    </w:p>
    <w:p w:rsidR="00650BD1" w:rsidRPr="00B02998" w:rsidRDefault="00650BD1" w:rsidP="00650BD1">
      <w:pPr>
        <w:pStyle w:val="TxBrp3"/>
        <w:tabs>
          <w:tab w:val="clear" w:pos="300"/>
        </w:tabs>
        <w:spacing w:line="240" w:lineRule="auto"/>
        <w:ind w:left="0" w:firstLine="0"/>
        <w:jc w:val="both"/>
        <w:rPr>
          <w:rFonts w:ascii="Arial" w:hAnsi="Arial" w:cs="Arial"/>
          <w:sz w:val="22"/>
          <w:szCs w:val="22"/>
          <w:lang w:val="it-IT"/>
        </w:rPr>
      </w:pPr>
    </w:p>
    <w:p w:rsidR="00650BD1" w:rsidRPr="00650BD1" w:rsidRDefault="00650BD1" w:rsidP="00650BD1">
      <w:pPr>
        <w:pStyle w:val="TxBrp3"/>
        <w:tabs>
          <w:tab w:val="clear" w:pos="300"/>
        </w:tabs>
        <w:spacing w:line="240" w:lineRule="auto"/>
        <w:ind w:left="0" w:firstLine="0"/>
        <w:jc w:val="both"/>
        <w:rPr>
          <w:rFonts w:ascii="Arial" w:hAnsi="Arial" w:cs="Arial"/>
          <w:sz w:val="22"/>
          <w:szCs w:val="22"/>
          <w:lang w:val="it-IT"/>
        </w:rPr>
      </w:pPr>
      <w:r w:rsidRPr="00B02998">
        <w:rPr>
          <w:rFonts w:ascii="Arial" w:hAnsi="Arial" w:cs="Arial"/>
          <w:b/>
          <w:sz w:val="22"/>
          <w:szCs w:val="22"/>
          <w:lang w:val="it-IT"/>
        </w:rPr>
        <w:t xml:space="preserve">DATO ATTO </w:t>
      </w:r>
      <w:r w:rsidRPr="00B02998">
        <w:rPr>
          <w:rFonts w:ascii="Arial" w:hAnsi="Arial" w:cs="Arial"/>
          <w:sz w:val="22"/>
          <w:szCs w:val="22"/>
          <w:lang w:val="it-IT"/>
        </w:rPr>
        <w:t xml:space="preserve">che il Comitato tecnico ha espresso parere favorevole, allegato </w:t>
      </w:r>
      <w:r w:rsidRPr="00650BD1">
        <w:rPr>
          <w:rFonts w:ascii="Arial" w:hAnsi="Arial" w:cs="Arial"/>
          <w:sz w:val="22"/>
          <w:szCs w:val="22"/>
          <w:lang w:val="it-IT"/>
        </w:rPr>
        <w:t>E);</w:t>
      </w:r>
    </w:p>
    <w:p w:rsidR="00650BD1" w:rsidRPr="00B02998" w:rsidRDefault="00650BD1" w:rsidP="00650BD1">
      <w:pPr>
        <w:pStyle w:val="Corpodeltesto2"/>
        <w:jc w:val="both"/>
        <w:rPr>
          <w:rFonts w:ascii="Arial" w:hAnsi="Arial" w:cs="Arial"/>
          <w:bCs w:val="0"/>
          <w:sz w:val="22"/>
          <w:szCs w:val="22"/>
        </w:rPr>
      </w:pPr>
      <w:bookmarkStart w:id="0" w:name="_GoBack"/>
      <w:bookmarkEnd w:id="0"/>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bCs w:val="0"/>
          <w:sz w:val="22"/>
          <w:szCs w:val="22"/>
        </w:rPr>
        <w:t>VISTO</w:t>
      </w:r>
      <w:r w:rsidRPr="00B02998">
        <w:rPr>
          <w:rFonts w:ascii="Arial" w:hAnsi="Arial" w:cs="Arial"/>
          <w:b w:val="0"/>
          <w:bCs w:val="0"/>
          <w:sz w:val="22"/>
          <w:szCs w:val="22"/>
        </w:rPr>
        <w:t xml:space="preserve"> ed acquisito il parere favorevole espresso dal Reviso</w:t>
      </w:r>
      <w:r>
        <w:rPr>
          <w:rFonts w:ascii="Arial" w:hAnsi="Arial" w:cs="Arial"/>
          <w:b w:val="0"/>
          <w:bCs w:val="0"/>
          <w:sz w:val="22"/>
          <w:szCs w:val="22"/>
        </w:rPr>
        <w:t xml:space="preserve">re legale dell’A.R.T.A allegato </w:t>
      </w:r>
      <w:r w:rsidRPr="00E348B9">
        <w:rPr>
          <w:rFonts w:ascii="Arial" w:hAnsi="Arial" w:cs="Arial"/>
          <w:b w:val="0"/>
          <w:bCs w:val="0"/>
          <w:sz w:val="22"/>
          <w:szCs w:val="22"/>
        </w:rPr>
        <w:t>F);</w:t>
      </w:r>
    </w:p>
    <w:p w:rsidR="00650BD1" w:rsidRPr="00B02998" w:rsidRDefault="00650BD1" w:rsidP="00650BD1">
      <w:pPr>
        <w:pStyle w:val="TxBrp3"/>
        <w:tabs>
          <w:tab w:val="clear" w:pos="300"/>
        </w:tabs>
        <w:spacing w:line="240" w:lineRule="auto"/>
        <w:ind w:left="0" w:firstLine="0"/>
        <w:jc w:val="both"/>
        <w:rPr>
          <w:rFonts w:ascii="Arial" w:hAnsi="Arial" w:cs="Arial"/>
          <w:sz w:val="22"/>
          <w:szCs w:val="22"/>
          <w:lang w:val="it-IT"/>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bCs w:val="0"/>
          <w:sz w:val="22"/>
          <w:szCs w:val="22"/>
        </w:rPr>
        <w:t>VISTO</w:t>
      </w:r>
      <w:r w:rsidRPr="00B02998">
        <w:rPr>
          <w:rFonts w:ascii="Arial" w:hAnsi="Arial" w:cs="Arial"/>
          <w:b w:val="0"/>
          <w:bCs w:val="0"/>
          <w:sz w:val="22"/>
          <w:szCs w:val="22"/>
        </w:rPr>
        <w:t xml:space="preserve"> il parere favorevole di regolarità amministrativa reso dal Direttore Amministrativo;</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jc w:val="both"/>
        <w:rPr>
          <w:rFonts w:ascii="Arial" w:hAnsi="Arial" w:cs="Arial"/>
          <w:b w:val="0"/>
          <w:bCs w:val="0"/>
          <w:sz w:val="22"/>
          <w:szCs w:val="22"/>
        </w:rPr>
      </w:pPr>
      <w:r w:rsidRPr="00B02998">
        <w:rPr>
          <w:rFonts w:ascii="Arial" w:hAnsi="Arial" w:cs="Arial"/>
          <w:bCs w:val="0"/>
          <w:sz w:val="22"/>
          <w:szCs w:val="22"/>
        </w:rPr>
        <w:t>VISTO</w:t>
      </w:r>
      <w:r w:rsidRPr="00B02998">
        <w:rPr>
          <w:rFonts w:ascii="Arial" w:hAnsi="Arial" w:cs="Arial"/>
          <w:b w:val="0"/>
          <w:bCs w:val="0"/>
          <w:sz w:val="22"/>
          <w:szCs w:val="22"/>
        </w:rPr>
        <w:t xml:space="preserve"> il parere favorevole di regolarità tecnica reso dal Direttore Tecnico;</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rPr>
          <w:rFonts w:ascii="Arial" w:hAnsi="Arial" w:cs="Arial"/>
          <w:bCs w:val="0"/>
          <w:sz w:val="22"/>
          <w:szCs w:val="22"/>
        </w:rPr>
      </w:pPr>
      <w:r w:rsidRPr="00B02998">
        <w:rPr>
          <w:rFonts w:ascii="Arial" w:hAnsi="Arial" w:cs="Arial"/>
          <w:bCs w:val="0"/>
          <w:sz w:val="22"/>
          <w:szCs w:val="22"/>
        </w:rPr>
        <w:t>DELIBERA</w:t>
      </w:r>
    </w:p>
    <w:p w:rsidR="00650BD1" w:rsidRPr="00B02998" w:rsidRDefault="00650BD1" w:rsidP="00650BD1">
      <w:pPr>
        <w:pStyle w:val="Corpodeltesto2"/>
        <w:jc w:val="both"/>
        <w:rPr>
          <w:rFonts w:ascii="Arial" w:hAnsi="Arial" w:cs="Arial"/>
          <w:b w:val="0"/>
          <w:bCs w:val="0"/>
          <w:sz w:val="22"/>
          <w:szCs w:val="22"/>
        </w:rPr>
      </w:pPr>
    </w:p>
    <w:p w:rsidR="00650BD1" w:rsidRPr="00B02998" w:rsidRDefault="00650BD1" w:rsidP="00650BD1">
      <w:pPr>
        <w:pStyle w:val="Corpodeltesto2"/>
        <w:widowControl w:val="0"/>
        <w:numPr>
          <w:ilvl w:val="0"/>
          <w:numId w:val="9"/>
        </w:numPr>
        <w:tabs>
          <w:tab w:val="clear" w:pos="720"/>
          <w:tab w:val="clear" w:pos="1300"/>
          <w:tab w:val="num" w:pos="284"/>
        </w:tabs>
        <w:snapToGrid w:val="0"/>
        <w:ind w:left="284" w:hanging="284"/>
        <w:jc w:val="both"/>
        <w:rPr>
          <w:rFonts w:ascii="Arial" w:hAnsi="Arial" w:cs="Arial"/>
          <w:b w:val="0"/>
          <w:bCs w:val="0"/>
          <w:sz w:val="22"/>
          <w:szCs w:val="22"/>
        </w:rPr>
      </w:pPr>
      <w:r w:rsidRPr="00B02998">
        <w:rPr>
          <w:rFonts w:ascii="Arial" w:hAnsi="Arial" w:cs="Arial"/>
          <w:bCs w:val="0"/>
          <w:caps/>
          <w:sz w:val="22"/>
          <w:szCs w:val="22"/>
        </w:rPr>
        <w:t>di adottare</w:t>
      </w:r>
      <w:r w:rsidRPr="00B02998">
        <w:rPr>
          <w:rFonts w:ascii="Arial" w:hAnsi="Arial" w:cs="Arial"/>
          <w:b w:val="0"/>
          <w:bCs w:val="0"/>
          <w:sz w:val="22"/>
          <w:szCs w:val="22"/>
        </w:rPr>
        <w:t xml:space="preserve"> lo schema di Bilancio di previsione finanziario armonizzato 2023, 2024, 2025, di cui all’allegato 9 al </w:t>
      </w:r>
      <w:proofErr w:type="spellStart"/>
      <w:r w:rsidRPr="00B02998">
        <w:rPr>
          <w:rFonts w:ascii="Arial" w:hAnsi="Arial" w:cs="Arial"/>
          <w:b w:val="0"/>
          <w:bCs w:val="0"/>
          <w:sz w:val="22"/>
          <w:szCs w:val="22"/>
        </w:rPr>
        <w:t>D.Lgs.</w:t>
      </w:r>
      <w:proofErr w:type="spellEnd"/>
      <w:r w:rsidRPr="00B02998">
        <w:rPr>
          <w:rFonts w:ascii="Arial" w:hAnsi="Arial" w:cs="Arial"/>
          <w:b w:val="0"/>
          <w:bCs w:val="0"/>
          <w:sz w:val="22"/>
          <w:szCs w:val="22"/>
        </w:rPr>
        <w:t xml:space="preserve"> 118/2011, dando atto che lo stesso assume pieno valore giuridico anche con riferimento alla funzione </w:t>
      </w:r>
      <w:proofErr w:type="spellStart"/>
      <w:r w:rsidRPr="00B02998">
        <w:rPr>
          <w:rFonts w:ascii="Arial" w:hAnsi="Arial" w:cs="Arial"/>
          <w:b w:val="0"/>
          <w:bCs w:val="0"/>
          <w:sz w:val="22"/>
          <w:szCs w:val="22"/>
        </w:rPr>
        <w:t>autorizzatoria</w:t>
      </w:r>
      <w:proofErr w:type="spellEnd"/>
      <w:r w:rsidRPr="00B02998">
        <w:rPr>
          <w:rFonts w:ascii="Arial" w:hAnsi="Arial" w:cs="Arial"/>
          <w:b w:val="0"/>
          <w:bCs w:val="0"/>
          <w:sz w:val="22"/>
          <w:szCs w:val="22"/>
        </w:rPr>
        <w:t xml:space="preserve">, (prospetto inerente il preventivo finanziario gestionale pluriennale esercizi 2023, 2024, 2025) - allegato 9 al bilancio - allegato </w:t>
      </w:r>
      <w:r w:rsidRPr="006301CE">
        <w:rPr>
          <w:rFonts w:ascii="Arial" w:hAnsi="Arial" w:cs="Arial"/>
          <w:b w:val="0"/>
          <w:bCs w:val="0"/>
          <w:sz w:val="22"/>
          <w:szCs w:val="22"/>
        </w:rPr>
        <w:t>D)</w:t>
      </w:r>
      <w:r w:rsidRPr="00B02998">
        <w:rPr>
          <w:rFonts w:ascii="Arial" w:hAnsi="Arial" w:cs="Arial"/>
          <w:b w:val="0"/>
          <w:bCs w:val="0"/>
          <w:sz w:val="22"/>
          <w:szCs w:val="22"/>
        </w:rPr>
        <w:t xml:space="preserve"> della presente Deliberazione;</w:t>
      </w:r>
    </w:p>
    <w:p w:rsidR="00650BD1" w:rsidRPr="00B02998" w:rsidRDefault="00650BD1" w:rsidP="00650BD1">
      <w:pPr>
        <w:pStyle w:val="Corpodeltesto2"/>
        <w:widowControl w:val="0"/>
        <w:tabs>
          <w:tab w:val="clear" w:pos="1300"/>
        </w:tabs>
        <w:snapToGrid w:val="0"/>
        <w:ind w:left="284"/>
        <w:jc w:val="both"/>
        <w:rPr>
          <w:rFonts w:ascii="Arial" w:hAnsi="Arial" w:cs="Arial"/>
          <w:b w:val="0"/>
          <w:bCs w:val="0"/>
          <w:sz w:val="22"/>
          <w:szCs w:val="22"/>
        </w:rPr>
      </w:pPr>
    </w:p>
    <w:p w:rsidR="00650BD1" w:rsidRPr="00B02998" w:rsidRDefault="00650BD1" w:rsidP="00650BD1">
      <w:pPr>
        <w:pStyle w:val="Corpodeltesto2"/>
        <w:widowControl w:val="0"/>
        <w:numPr>
          <w:ilvl w:val="0"/>
          <w:numId w:val="9"/>
        </w:numPr>
        <w:tabs>
          <w:tab w:val="clear" w:pos="1300"/>
        </w:tabs>
        <w:snapToGrid w:val="0"/>
        <w:ind w:left="284" w:hanging="284"/>
        <w:jc w:val="both"/>
        <w:rPr>
          <w:rFonts w:ascii="Arial" w:hAnsi="Arial" w:cs="Arial"/>
          <w:b w:val="0"/>
          <w:sz w:val="22"/>
          <w:szCs w:val="22"/>
        </w:rPr>
      </w:pPr>
      <w:r w:rsidRPr="00B02998">
        <w:rPr>
          <w:rFonts w:ascii="Arial" w:hAnsi="Arial" w:cs="Arial"/>
          <w:caps/>
          <w:sz w:val="22"/>
          <w:szCs w:val="22"/>
        </w:rPr>
        <w:t xml:space="preserve">di APPROVARE </w:t>
      </w:r>
      <w:r w:rsidRPr="00B02998">
        <w:rPr>
          <w:rFonts w:ascii="Arial" w:hAnsi="Arial" w:cs="Arial"/>
          <w:b w:val="0"/>
          <w:sz w:val="22"/>
          <w:szCs w:val="22"/>
        </w:rPr>
        <w:t xml:space="preserve">la </w:t>
      </w:r>
      <w:r w:rsidRPr="00B02998">
        <w:rPr>
          <w:rFonts w:ascii="Arial" w:hAnsi="Arial" w:cs="Arial"/>
          <w:b w:val="0"/>
          <w:bCs w:val="0"/>
          <w:sz w:val="22"/>
          <w:szCs w:val="22"/>
        </w:rPr>
        <w:t xml:space="preserve">Relazione Programmatica al Bilancio, </w:t>
      </w:r>
      <w:r w:rsidRPr="00702320">
        <w:rPr>
          <w:rFonts w:ascii="Arial" w:hAnsi="Arial" w:cs="Arial"/>
          <w:b w:val="0"/>
          <w:bCs w:val="0"/>
          <w:sz w:val="22"/>
          <w:szCs w:val="22"/>
        </w:rPr>
        <w:t>allegato A),</w:t>
      </w:r>
      <w:r w:rsidRPr="00B02998">
        <w:rPr>
          <w:rFonts w:ascii="Arial" w:hAnsi="Arial" w:cs="Arial"/>
          <w:b w:val="0"/>
          <w:bCs w:val="0"/>
          <w:sz w:val="22"/>
          <w:szCs w:val="22"/>
        </w:rPr>
        <w:t xml:space="preserve"> per il conseguimento degli obiettivi ambientali, ai sensi dell’art. 10 della L.R. 64/98 come modificato con L.R. 27/2010, la Relazione illustrativa, allegato B) e la nota integrativa al bilancio di previsione 2023, 2024, 2025 </w:t>
      </w:r>
      <w:r w:rsidRPr="00702320">
        <w:rPr>
          <w:rFonts w:ascii="Arial" w:hAnsi="Arial" w:cs="Arial"/>
          <w:b w:val="0"/>
          <w:bCs w:val="0"/>
          <w:sz w:val="22"/>
          <w:szCs w:val="22"/>
        </w:rPr>
        <w:t>allegato C);</w:t>
      </w:r>
    </w:p>
    <w:p w:rsidR="00650BD1" w:rsidRPr="00B02998" w:rsidRDefault="00650BD1" w:rsidP="00650BD1">
      <w:pPr>
        <w:pStyle w:val="Paragrafoelenco"/>
        <w:rPr>
          <w:rFonts w:ascii="Arial" w:hAnsi="Arial" w:cs="Arial"/>
          <w:caps/>
        </w:rPr>
      </w:pPr>
    </w:p>
    <w:p w:rsidR="00650BD1" w:rsidRPr="00B02998" w:rsidRDefault="00650BD1" w:rsidP="00650BD1">
      <w:pPr>
        <w:pStyle w:val="Corpodeltesto2"/>
        <w:widowControl w:val="0"/>
        <w:numPr>
          <w:ilvl w:val="0"/>
          <w:numId w:val="9"/>
        </w:numPr>
        <w:tabs>
          <w:tab w:val="clear" w:pos="1300"/>
        </w:tabs>
        <w:snapToGrid w:val="0"/>
        <w:ind w:left="284" w:hanging="284"/>
        <w:jc w:val="both"/>
        <w:rPr>
          <w:rFonts w:ascii="Arial" w:hAnsi="Arial" w:cs="Arial"/>
          <w:b w:val="0"/>
          <w:sz w:val="22"/>
          <w:szCs w:val="22"/>
        </w:rPr>
      </w:pPr>
      <w:r w:rsidRPr="00B02998">
        <w:rPr>
          <w:rFonts w:ascii="Arial" w:hAnsi="Arial" w:cs="Arial"/>
          <w:caps/>
          <w:sz w:val="22"/>
          <w:szCs w:val="22"/>
        </w:rPr>
        <w:t xml:space="preserve">di trasmettere </w:t>
      </w:r>
      <w:r w:rsidRPr="00B02998">
        <w:rPr>
          <w:rFonts w:ascii="Arial" w:hAnsi="Arial" w:cs="Arial"/>
          <w:b w:val="0"/>
          <w:sz w:val="22"/>
          <w:szCs w:val="22"/>
        </w:rPr>
        <w:t xml:space="preserve">copia della presente, correlata del parere del Comitato Tecnico allegato </w:t>
      </w:r>
      <w:r w:rsidRPr="00650BD1">
        <w:rPr>
          <w:rFonts w:ascii="Arial" w:hAnsi="Arial" w:cs="Arial"/>
          <w:b w:val="0"/>
          <w:sz w:val="22"/>
          <w:szCs w:val="22"/>
        </w:rPr>
        <w:t>E)</w:t>
      </w:r>
      <w:r w:rsidRPr="00B02998">
        <w:rPr>
          <w:rFonts w:ascii="Arial" w:hAnsi="Arial" w:cs="Arial"/>
          <w:b w:val="0"/>
          <w:sz w:val="22"/>
          <w:szCs w:val="22"/>
        </w:rPr>
        <w:t xml:space="preserve"> e del Revisore legale dell’A.R.T.A allegato </w:t>
      </w:r>
      <w:r w:rsidRPr="00E348B9">
        <w:rPr>
          <w:rFonts w:ascii="Arial" w:hAnsi="Arial" w:cs="Arial"/>
          <w:b w:val="0"/>
          <w:sz w:val="22"/>
          <w:szCs w:val="22"/>
        </w:rPr>
        <w:t>F)</w:t>
      </w:r>
      <w:r w:rsidRPr="00B02998">
        <w:rPr>
          <w:rFonts w:ascii="Arial" w:hAnsi="Arial" w:cs="Arial"/>
          <w:b w:val="0"/>
          <w:sz w:val="22"/>
          <w:szCs w:val="22"/>
        </w:rPr>
        <w:t>, alla Regione Abruzzo ai sensi dell’art. 8 della L.R. 64/1998.</w:t>
      </w:r>
    </w:p>
    <w:p w:rsidR="00E37A88" w:rsidRDefault="00E37A88"/>
    <w:sectPr w:rsidR="00E37A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54D3F"/>
    <w:multiLevelType w:val="hybridMultilevel"/>
    <w:tmpl w:val="97FC4B62"/>
    <w:lvl w:ilvl="0" w:tplc="3A0AFC86">
      <w:start w:val="1"/>
      <w:numFmt w:val="bullet"/>
      <w:lvlText w:val=""/>
      <w:lvlJc w:val="left"/>
      <w:pPr>
        <w:ind w:left="780" w:hanging="360"/>
      </w:pPr>
      <w:rPr>
        <w:rFonts w:ascii="Symbol" w:hAnsi="Symbol" w:hint="default"/>
      </w:rPr>
    </w:lvl>
    <w:lvl w:ilvl="1" w:tplc="61EC0530" w:tentative="1">
      <w:start w:val="1"/>
      <w:numFmt w:val="bullet"/>
      <w:lvlText w:val="o"/>
      <w:lvlJc w:val="left"/>
      <w:pPr>
        <w:ind w:left="1500" w:hanging="360"/>
      </w:pPr>
      <w:rPr>
        <w:rFonts w:ascii="Courier New" w:hAnsi="Courier New" w:cs="Courier New" w:hint="default"/>
      </w:rPr>
    </w:lvl>
    <w:lvl w:ilvl="2" w:tplc="787C9EF6" w:tentative="1">
      <w:start w:val="1"/>
      <w:numFmt w:val="bullet"/>
      <w:lvlText w:val=""/>
      <w:lvlJc w:val="left"/>
      <w:pPr>
        <w:ind w:left="2220" w:hanging="360"/>
      </w:pPr>
      <w:rPr>
        <w:rFonts w:ascii="Wingdings" w:hAnsi="Wingdings" w:hint="default"/>
      </w:rPr>
    </w:lvl>
    <w:lvl w:ilvl="3" w:tplc="CF6E6F0E" w:tentative="1">
      <w:start w:val="1"/>
      <w:numFmt w:val="bullet"/>
      <w:lvlText w:val=""/>
      <w:lvlJc w:val="left"/>
      <w:pPr>
        <w:ind w:left="2940" w:hanging="360"/>
      </w:pPr>
      <w:rPr>
        <w:rFonts w:ascii="Symbol" w:hAnsi="Symbol" w:hint="default"/>
      </w:rPr>
    </w:lvl>
    <w:lvl w:ilvl="4" w:tplc="E5DCA8AE" w:tentative="1">
      <w:start w:val="1"/>
      <w:numFmt w:val="bullet"/>
      <w:lvlText w:val="o"/>
      <w:lvlJc w:val="left"/>
      <w:pPr>
        <w:ind w:left="3660" w:hanging="360"/>
      </w:pPr>
      <w:rPr>
        <w:rFonts w:ascii="Courier New" w:hAnsi="Courier New" w:cs="Courier New" w:hint="default"/>
      </w:rPr>
    </w:lvl>
    <w:lvl w:ilvl="5" w:tplc="CEB20436" w:tentative="1">
      <w:start w:val="1"/>
      <w:numFmt w:val="bullet"/>
      <w:lvlText w:val=""/>
      <w:lvlJc w:val="left"/>
      <w:pPr>
        <w:ind w:left="4380" w:hanging="360"/>
      </w:pPr>
      <w:rPr>
        <w:rFonts w:ascii="Wingdings" w:hAnsi="Wingdings" w:hint="default"/>
      </w:rPr>
    </w:lvl>
    <w:lvl w:ilvl="6" w:tplc="E1B0CC64" w:tentative="1">
      <w:start w:val="1"/>
      <w:numFmt w:val="bullet"/>
      <w:lvlText w:val=""/>
      <w:lvlJc w:val="left"/>
      <w:pPr>
        <w:ind w:left="5100" w:hanging="360"/>
      </w:pPr>
      <w:rPr>
        <w:rFonts w:ascii="Symbol" w:hAnsi="Symbol" w:hint="default"/>
      </w:rPr>
    </w:lvl>
    <w:lvl w:ilvl="7" w:tplc="906A9EF4" w:tentative="1">
      <w:start w:val="1"/>
      <w:numFmt w:val="bullet"/>
      <w:lvlText w:val="o"/>
      <w:lvlJc w:val="left"/>
      <w:pPr>
        <w:ind w:left="5820" w:hanging="360"/>
      </w:pPr>
      <w:rPr>
        <w:rFonts w:ascii="Courier New" w:hAnsi="Courier New" w:cs="Courier New" w:hint="default"/>
      </w:rPr>
    </w:lvl>
    <w:lvl w:ilvl="8" w:tplc="5D5E6B36" w:tentative="1">
      <w:start w:val="1"/>
      <w:numFmt w:val="bullet"/>
      <w:lvlText w:val=""/>
      <w:lvlJc w:val="left"/>
      <w:pPr>
        <w:ind w:left="6540" w:hanging="360"/>
      </w:pPr>
      <w:rPr>
        <w:rFonts w:ascii="Wingdings" w:hAnsi="Wingdings" w:hint="default"/>
      </w:rPr>
    </w:lvl>
  </w:abstractNum>
  <w:abstractNum w:abstractNumId="1" w15:restartNumberingAfterBreak="0">
    <w:nsid w:val="67654D40"/>
    <w:multiLevelType w:val="hybridMultilevel"/>
    <w:tmpl w:val="2E70E6A4"/>
    <w:lvl w:ilvl="0" w:tplc="0D20D492">
      <w:start w:val="1"/>
      <w:numFmt w:val="bullet"/>
      <w:lvlText w:val=""/>
      <w:lvlJc w:val="left"/>
      <w:pPr>
        <w:ind w:left="780" w:hanging="360"/>
      </w:pPr>
      <w:rPr>
        <w:rFonts w:ascii="Symbol" w:hAnsi="Symbol" w:hint="default"/>
      </w:rPr>
    </w:lvl>
    <w:lvl w:ilvl="1" w:tplc="63EE3810" w:tentative="1">
      <w:start w:val="1"/>
      <w:numFmt w:val="bullet"/>
      <w:lvlText w:val="o"/>
      <w:lvlJc w:val="left"/>
      <w:pPr>
        <w:ind w:left="1500" w:hanging="360"/>
      </w:pPr>
      <w:rPr>
        <w:rFonts w:ascii="Courier New" w:hAnsi="Courier New" w:cs="Courier New" w:hint="default"/>
      </w:rPr>
    </w:lvl>
    <w:lvl w:ilvl="2" w:tplc="0E4821CE" w:tentative="1">
      <w:start w:val="1"/>
      <w:numFmt w:val="bullet"/>
      <w:lvlText w:val=""/>
      <w:lvlJc w:val="left"/>
      <w:pPr>
        <w:ind w:left="2220" w:hanging="360"/>
      </w:pPr>
      <w:rPr>
        <w:rFonts w:ascii="Wingdings" w:hAnsi="Wingdings" w:hint="default"/>
      </w:rPr>
    </w:lvl>
    <w:lvl w:ilvl="3" w:tplc="5498A52A" w:tentative="1">
      <w:start w:val="1"/>
      <w:numFmt w:val="bullet"/>
      <w:lvlText w:val=""/>
      <w:lvlJc w:val="left"/>
      <w:pPr>
        <w:ind w:left="2940" w:hanging="360"/>
      </w:pPr>
      <w:rPr>
        <w:rFonts w:ascii="Symbol" w:hAnsi="Symbol" w:hint="default"/>
      </w:rPr>
    </w:lvl>
    <w:lvl w:ilvl="4" w:tplc="C7DA7508" w:tentative="1">
      <w:start w:val="1"/>
      <w:numFmt w:val="bullet"/>
      <w:lvlText w:val="o"/>
      <w:lvlJc w:val="left"/>
      <w:pPr>
        <w:ind w:left="3660" w:hanging="360"/>
      </w:pPr>
      <w:rPr>
        <w:rFonts w:ascii="Courier New" w:hAnsi="Courier New" w:cs="Courier New" w:hint="default"/>
      </w:rPr>
    </w:lvl>
    <w:lvl w:ilvl="5" w:tplc="1CA2C276" w:tentative="1">
      <w:start w:val="1"/>
      <w:numFmt w:val="bullet"/>
      <w:lvlText w:val=""/>
      <w:lvlJc w:val="left"/>
      <w:pPr>
        <w:ind w:left="4380" w:hanging="360"/>
      </w:pPr>
      <w:rPr>
        <w:rFonts w:ascii="Wingdings" w:hAnsi="Wingdings" w:hint="default"/>
      </w:rPr>
    </w:lvl>
    <w:lvl w:ilvl="6" w:tplc="D8E42EE2" w:tentative="1">
      <w:start w:val="1"/>
      <w:numFmt w:val="bullet"/>
      <w:lvlText w:val=""/>
      <w:lvlJc w:val="left"/>
      <w:pPr>
        <w:ind w:left="5100" w:hanging="360"/>
      </w:pPr>
      <w:rPr>
        <w:rFonts w:ascii="Symbol" w:hAnsi="Symbol" w:hint="default"/>
      </w:rPr>
    </w:lvl>
    <w:lvl w:ilvl="7" w:tplc="F41C8A70" w:tentative="1">
      <w:start w:val="1"/>
      <w:numFmt w:val="bullet"/>
      <w:lvlText w:val="o"/>
      <w:lvlJc w:val="left"/>
      <w:pPr>
        <w:ind w:left="5820" w:hanging="360"/>
      </w:pPr>
      <w:rPr>
        <w:rFonts w:ascii="Courier New" w:hAnsi="Courier New" w:cs="Courier New" w:hint="default"/>
      </w:rPr>
    </w:lvl>
    <w:lvl w:ilvl="8" w:tplc="7040BEC0" w:tentative="1">
      <w:start w:val="1"/>
      <w:numFmt w:val="bullet"/>
      <w:lvlText w:val=""/>
      <w:lvlJc w:val="left"/>
      <w:pPr>
        <w:ind w:left="6540" w:hanging="360"/>
      </w:pPr>
      <w:rPr>
        <w:rFonts w:ascii="Wingdings" w:hAnsi="Wingdings" w:hint="default"/>
      </w:rPr>
    </w:lvl>
  </w:abstractNum>
  <w:abstractNum w:abstractNumId="2" w15:restartNumberingAfterBreak="0">
    <w:nsid w:val="67654D41"/>
    <w:multiLevelType w:val="hybridMultilevel"/>
    <w:tmpl w:val="C248F84A"/>
    <w:lvl w:ilvl="0" w:tplc="AD38AA7A">
      <w:start w:val="1"/>
      <w:numFmt w:val="bullet"/>
      <w:lvlText w:val=""/>
      <w:lvlJc w:val="left"/>
      <w:pPr>
        <w:ind w:left="720" w:hanging="360"/>
      </w:pPr>
      <w:rPr>
        <w:rFonts w:ascii="Symbol" w:hAnsi="Symbol" w:hint="default"/>
      </w:rPr>
    </w:lvl>
    <w:lvl w:ilvl="1" w:tplc="79509540" w:tentative="1">
      <w:start w:val="1"/>
      <w:numFmt w:val="bullet"/>
      <w:lvlText w:val="o"/>
      <w:lvlJc w:val="left"/>
      <w:pPr>
        <w:ind w:left="1440" w:hanging="360"/>
      </w:pPr>
      <w:rPr>
        <w:rFonts w:ascii="Courier New" w:hAnsi="Courier New" w:cs="Courier New" w:hint="default"/>
      </w:rPr>
    </w:lvl>
    <w:lvl w:ilvl="2" w:tplc="41AA6CC6" w:tentative="1">
      <w:start w:val="1"/>
      <w:numFmt w:val="bullet"/>
      <w:lvlText w:val=""/>
      <w:lvlJc w:val="left"/>
      <w:pPr>
        <w:ind w:left="2160" w:hanging="360"/>
      </w:pPr>
      <w:rPr>
        <w:rFonts w:ascii="Wingdings" w:hAnsi="Wingdings" w:hint="default"/>
      </w:rPr>
    </w:lvl>
    <w:lvl w:ilvl="3" w:tplc="7E5E7282" w:tentative="1">
      <w:start w:val="1"/>
      <w:numFmt w:val="bullet"/>
      <w:lvlText w:val=""/>
      <w:lvlJc w:val="left"/>
      <w:pPr>
        <w:ind w:left="2880" w:hanging="360"/>
      </w:pPr>
      <w:rPr>
        <w:rFonts w:ascii="Symbol" w:hAnsi="Symbol" w:hint="default"/>
      </w:rPr>
    </w:lvl>
    <w:lvl w:ilvl="4" w:tplc="80EAF450" w:tentative="1">
      <w:start w:val="1"/>
      <w:numFmt w:val="bullet"/>
      <w:lvlText w:val="o"/>
      <w:lvlJc w:val="left"/>
      <w:pPr>
        <w:ind w:left="3600" w:hanging="360"/>
      </w:pPr>
      <w:rPr>
        <w:rFonts w:ascii="Courier New" w:hAnsi="Courier New" w:cs="Courier New" w:hint="default"/>
      </w:rPr>
    </w:lvl>
    <w:lvl w:ilvl="5" w:tplc="3F06327E" w:tentative="1">
      <w:start w:val="1"/>
      <w:numFmt w:val="bullet"/>
      <w:lvlText w:val=""/>
      <w:lvlJc w:val="left"/>
      <w:pPr>
        <w:ind w:left="4320" w:hanging="360"/>
      </w:pPr>
      <w:rPr>
        <w:rFonts w:ascii="Wingdings" w:hAnsi="Wingdings" w:hint="default"/>
      </w:rPr>
    </w:lvl>
    <w:lvl w:ilvl="6" w:tplc="77EE6816" w:tentative="1">
      <w:start w:val="1"/>
      <w:numFmt w:val="bullet"/>
      <w:lvlText w:val=""/>
      <w:lvlJc w:val="left"/>
      <w:pPr>
        <w:ind w:left="5040" w:hanging="360"/>
      </w:pPr>
      <w:rPr>
        <w:rFonts w:ascii="Symbol" w:hAnsi="Symbol" w:hint="default"/>
      </w:rPr>
    </w:lvl>
    <w:lvl w:ilvl="7" w:tplc="8BAA8FCC" w:tentative="1">
      <w:start w:val="1"/>
      <w:numFmt w:val="bullet"/>
      <w:lvlText w:val="o"/>
      <w:lvlJc w:val="left"/>
      <w:pPr>
        <w:ind w:left="5760" w:hanging="360"/>
      </w:pPr>
      <w:rPr>
        <w:rFonts w:ascii="Courier New" w:hAnsi="Courier New" w:cs="Courier New" w:hint="default"/>
      </w:rPr>
    </w:lvl>
    <w:lvl w:ilvl="8" w:tplc="0A1C3F0E" w:tentative="1">
      <w:start w:val="1"/>
      <w:numFmt w:val="bullet"/>
      <w:lvlText w:val=""/>
      <w:lvlJc w:val="left"/>
      <w:pPr>
        <w:ind w:left="6480" w:hanging="360"/>
      </w:pPr>
      <w:rPr>
        <w:rFonts w:ascii="Wingdings" w:hAnsi="Wingdings" w:hint="default"/>
      </w:rPr>
    </w:lvl>
  </w:abstractNum>
  <w:abstractNum w:abstractNumId="3" w15:restartNumberingAfterBreak="0">
    <w:nsid w:val="67654D42"/>
    <w:multiLevelType w:val="hybridMultilevel"/>
    <w:tmpl w:val="5BB494EE"/>
    <w:lvl w:ilvl="0" w:tplc="9EA22DEE">
      <w:start w:val="1"/>
      <w:numFmt w:val="bullet"/>
      <w:lvlText w:val=""/>
      <w:lvlJc w:val="left"/>
      <w:pPr>
        <w:ind w:left="780" w:hanging="360"/>
      </w:pPr>
      <w:rPr>
        <w:rFonts w:ascii="Symbol" w:hAnsi="Symbol" w:hint="default"/>
      </w:rPr>
    </w:lvl>
    <w:lvl w:ilvl="1" w:tplc="4D7AC708" w:tentative="1">
      <w:start w:val="1"/>
      <w:numFmt w:val="bullet"/>
      <w:lvlText w:val="o"/>
      <w:lvlJc w:val="left"/>
      <w:pPr>
        <w:ind w:left="1500" w:hanging="360"/>
      </w:pPr>
      <w:rPr>
        <w:rFonts w:ascii="Courier New" w:hAnsi="Courier New" w:cs="Courier New" w:hint="default"/>
      </w:rPr>
    </w:lvl>
    <w:lvl w:ilvl="2" w:tplc="0B12221A" w:tentative="1">
      <w:start w:val="1"/>
      <w:numFmt w:val="bullet"/>
      <w:lvlText w:val=""/>
      <w:lvlJc w:val="left"/>
      <w:pPr>
        <w:ind w:left="2220" w:hanging="360"/>
      </w:pPr>
      <w:rPr>
        <w:rFonts w:ascii="Wingdings" w:hAnsi="Wingdings" w:hint="default"/>
      </w:rPr>
    </w:lvl>
    <w:lvl w:ilvl="3" w:tplc="969A147A" w:tentative="1">
      <w:start w:val="1"/>
      <w:numFmt w:val="bullet"/>
      <w:lvlText w:val=""/>
      <w:lvlJc w:val="left"/>
      <w:pPr>
        <w:ind w:left="2940" w:hanging="360"/>
      </w:pPr>
      <w:rPr>
        <w:rFonts w:ascii="Symbol" w:hAnsi="Symbol" w:hint="default"/>
      </w:rPr>
    </w:lvl>
    <w:lvl w:ilvl="4" w:tplc="EF16D730" w:tentative="1">
      <w:start w:val="1"/>
      <w:numFmt w:val="bullet"/>
      <w:lvlText w:val="o"/>
      <w:lvlJc w:val="left"/>
      <w:pPr>
        <w:ind w:left="3660" w:hanging="360"/>
      </w:pPr>
      <w:rPr>
        <w:rFonts w:ascii="Courier New" w:hAnsi="Courier New" w:cs="Courier New" w:hint="default"/>
      </w:rPr>
    </w:lvl>
    <w:lvl w:ilvl="5" w:tplc="E5F6AC3A" w:tentative="1">
      <w:start w:val="1"/>
      <w:numFmt w:val="bullet"/>
      <w:lvlText w:val=""/>
      <w:lvlJc w:val="left"/>
      <w:pPr>
        <w:ind w:left="4380" w:hanging="360"/>
      </w:pPr>
      <w:rPr>
        <w:rFonts w:ascii="Wingdings" w:hAnsi="Wingdings" w:hint="default"/>
      </w:rPr>
    </w:lvl>
    <w:lvl w:ilvl="6" w:tplc="B0DA2B32" w:tentative="1">
      <w:start w:val="1"/>
      <w:numFmt w:val="bullet"/>
      <w:lvlText w:val=""/>
      <w:lvlJc w:val="left"/>
      <w:pPr>
        <w:ind w:left="5100" w:hanging="360"/>
      </w:pPr>
      <w:rPr>
        <w:rFonts w:ascii="Symbol" w:hAnsi="Symbol" w:hint="default"/>
      </w:rPr>
    </w:lvl>
    <w:lvl w:ilvl="7" w:tplc="8E442D54" w:tentative="1">
      <w:start w:val="1"/>
      <w:numFmt w:val="bullet"/>
      <w:lvlText w:val="o"/>
      <w:lvlJc w:val="left"/>
      <w:pPr>
        <w:ind w:left="5820" w:hanging="360"/>
      </w:pPr>
      <w:rPr>
        <w:rFonts w:ascii="Courier New" w:hAnsi="Courier New" w:cs="Courier New" w:hint="default"/>
      </w:rPr>
    </w:lvl>
    <w:lvl w:ilvl="8" w:tplc="3CFC169A" w:tentative="1">
      <w:start w:val="1"/>
      <w:numFmt w:val="bullet"/>
      <w:lvlText w:val=""/>
      <w:lvlJc w:val="left"/>
      <w:pPr>
        <w:ind w:left="6540" w:hanging="360"/>
      </w:pPr>
      <w:rPr>
        <w:rFonts w:ascii="Wingdings" w:hAnsi="Wingdings" w:hint="default"/>
      </w:rPr>
    </w:lvl>
  </w:abstractNum>
  <w:abstractNum w:abstractNumId="4" w15:restartNumberingAfterBreak="0">
    <w:nsid w:val="67654D43"/>
    <w:multiLevelType w:val="hybridMultilevel"/>
    <w:tmpl w:val="CA1AE7C4"/>
    <w:lvl w:ilvl="0" w:tplc="341EAF38">
      <w:start w:val="1"/>
      <w:numFmt w:val="bullet"/>
      <w:lvlText w:val=""/>
      <w:lvlJc w:val="left"/>
      <w:pPr>
        <w:ind w:left="720" w:hanging="360"/>
      </w:pPr>
      <w:rPr>
        <w:rFonts w:ascii="Symbol" w:hAnsi="Symbol" w:hint="default"/>
      </w:rPr>
    </w:lvl>
    <w:lvl w:ilvl="1" w:tplc="A2AC0D0C" w:tentative="1">
      <w:start w:val="1"/>
      <w:numFmt w:val="bullet"/>
      <w:lvlText w:val="o"/>
      <w:lvlJc w:val="left"/>
      <w:pPr>
        <w:ind w:left="1440" w:hanging="360"/>
      </w:pPr>
      <w:rPr>
        <w:rFonts w:ascii="Courier New" w:hAnsi="Courier New" w:cs="Courier New" w:hint="default"/>
      </w:rPr>
    </w:lvl>
    <w:lvl w:ilvl="2" w:tplc="0492A286" w:tentative="1">
      <w:start w:val="1"/>
      <w:numFmt w:val="bullet"/>
      <w:lvlText w:val=""/>
      <w:lvlJc w:val="left"/>
      <w:pPr>
        <w:ind w:left="2160" w:hanging="360"/>
      </w:pPr>
      <w:rPr>
        <w:rFonts w:ascii="Wingdings" w:hAnsi="Wingdings" w:hint="default"/>
      </w:rPr>
    </w:lvl>
    <w:lvl w:ilvl="3" w:tplc="78FCD024" w:tentative="1">
      <w:start w:val="1"/>
      <w:numFmt w:val="bullet"/>
      <w:lvlText w:val=""/>
      <w:lvlJc w:val="left"/>
      <w:pPr>
        <w:ind w:left="2880" w:hanging="360"/>
      </w:pPr>
      <w:rPr>
        <w:rFonts w:ascii="Symbol" w:hAnsi="Symbol" w:hint="default"/>
      </w:rPr>
    </w:lvl>
    <w:lvl w:ilvl="4" w:tplc="82F8D5C0" w:tentative="1">
      <w:start w:val="1"/>
      <w:numFmt w:val="bullet"/>
      <w:lvlText w:val="o"/>
      <w:lvlJc w:val="left"/>
      <w:pPr>
        <w:ind w:left="3600" w:hanging="360"/>
      </w:pPr>
      <w:rPr>
        <w:rFonts w:ascii="Courier New" w:hAnsi="Courier New" w:cs="Courier New" w:hint="default"/>
      </w:rPr>
    </w:lvl>
    <w:lvl w:ilvl="5" w:tplc="E42629C2" w:tentative="1">
      <w:start w:val="1"/>
      <w:numFmt w:val="bullet"/>
      <w:lvlText w:val=""/>
      <w:lvlJc w:val="left"/>
      <w:pPr>
        <w:ind w:left="4320" w:hanging="360"/>
      </w:pPr>
      <w:rPr>
        <w:rFonts w:ascii="Wingdings" w:hAnsi="Wingdings" w:hint="default"/>
      </w:rPr>
    </w:lvl>
    <w:lvl w:ilvl="6" w:tplc="5BFEA9AC" w:tentative="1">
      <w:start w:val="1"/>
      <w:numFmt w:val="bullet"/>
      <w:lvlText w:val=""/>
      <w:lvlJc w:val="left"/>
      <w:pPr>
        <w:ind w:left="5040" w:hanging="360"/>
      </w:pPr>
      <w:rPr>
        <w:rFonts w:ascii="Symbol" w:hAnsi="Symbol" w:hint="default"/>
      </w:rPr>
    </w:lvl>
    <w:lvl w:ilvl="7" w:tplc="A120F716" w:tentative="1">
      <w:start w:val="1"/>
      <w:numFmt w:val="bullet"/>
      <w:lvlText w:val="o"/>
      <w:lvlJc w:val="left"/>
      <w:pPr>
        <w:ind w:left="5760" w:hanging="360"/>
      </w:pPr>
      <w:rPr>
        <w:rFonts w:ascii="Courier New" w:hAnsi="Courier New" w:cs="Courier New" w:hint="default"/>
      </w:rPr>
    </w:lvl>
    <w:lvl w:ilvl="8" w:tplc="A75E507E" w:tentative="1">
      <w:start w:val="1"/>
      <w:numFmt w:val="bullet"/>
      <w:lvlText w:val=""/>
      <w:lvlJc w:val="left"/>
      <w:pPr>
        <w:ind w:left="6480" w:hanging="360"/>
      </w:pPr>
      <w:rPr>
        <w:rFonts w:ascii="Wingdings" w:hAnsi="Wingdings" w:hint="default"/>
      </w:rPr>
    </w:lvl>
  </w:abstractNum>
  <w:abstractNum w:abstractNumId="5" w15:restartNumberingAfterBreak="0">
    <w:nsid w:val="67654D44"/>
    <w:multiLevelType w:val="hybridMultilevel"/>
    <w:tmpl w:val="35349636"/>
    <w:lvl w:ilvl="0" w:tplc="8B1410E8">
      <w:start w:val="1"/>
      <w:numFmt w:val="bullet"/>
      <w:lvlText w:val=""/>
      <w:lvlJc w:val="left"/>
      <w:pPr>
        <w:ind w:left="765" w:hanging="360"/>
      </w:pPr>
      <w:rPr>
        <w:rFonts w:ascii="Symbol" w:hAnsi="Symbol" w:hint="default"/>
      </w:rPr>
    </w:lvl>
    <w:lvl w:ilvl="1" w:tplc="D6B6BA66" w:tentative="1">
      <w:start w:val="1"/>
      <w:numFmt w:val="bullet"/>
      <w:lvlText w:val="o"/>
      <w:lvlJc w:val="left"/>
      <w:pPr>
        <w:ind w:left="1485" w:hanging="360"/>
      </w:pPr>
      <w:rPr>
        <w:rFonts w:ascii="Courier New" w:hAnsi="Courier New" w:cs="Courier New" w:hint="default"/>
      </w:rPr>
    </w:lvl>
    <w:lvl w:ilvl="2" w:tplc="82FA3EF4" w:tentative="1">
      <w:start w:val="1"/>
      <w:numFmt w:val="bullet"/>
      <w:lvlText w:val=""/>
      <w:lvlJc w:val="left"/>
      <w:pPr>
        <w:ind w:left="2205" w:hanging="360"/>
      </w:pPr>
      <w:rPr>
        <w:rFonts w:ascii="Wingdings" w:hAnsi="Wingdings" w:hint="default"/>
      </w:rPr>
    </w:lvl>
    <w:lvl w:ilvl="3" w:tplc="7B4A2FCE" w:tentative="1">
      <w:start w:val="1"/>
      <w:numFmt w:val="bullet"/>
      <w:lvlText w:val=""/>
      <w:lvlJc w:val="left"/>
      <w:pPr>
        <w:ind w:left="2925" w:hanging="360"/>
      </w:pPr>
      <w:rPr>
        <w:rFonts w:ascii="Symbol" w:hAnsi="Symbol" w:hint="default"/>
      </w:rPr>
    </w:lvl>
    <w:lvl w:ilvl="4" w:tplc="5EF0B128" w:tentative="1">
      <w:start w:val="1"/>
      <w:numFmt w:val="bullet"/>
      <w:lvlText w:val="o"/>
      <w:lvlJc w:val="left"/>
      <w:pPr>
        <w:ind w:left="3645" w:hanging="360"/>
      </w:pPr>
      <w:rPr>
        <w:rFonts w:ascii="Courier New" w:hAnsi="Courier New" w:cs="Courier New" w:hint="default"/>
      </w:rPr>
    </w:lvl>
    <w:lvl w:ilvl="5" w:tplc="CDE681D4" w:tentative="1">
      <w:start w:val="1"/>
      <w:numFmt w:val="bullet"/>
      <w:lvlText w:val=""/>
      <w:lvlJc w:val="left"/>
      <w:pPr>
        <w:ind w:left="4365" w:hanging="360"/>
      </w:pPr>
      <w:rPr>
        <w:rFonts w:ascii="Wingdings" w:hAnsi="Wingdings" w:hint="default"/>
      </w:rPr>
    </w:lvl>
    <w:lvl w:ilvl="6" w:tplc="09A45C0A" w:tentative="1">
      <w:start w:val="1"/>
      <w:numFmt w:val="bullet"/>
      <w:lvlText w:val=""/>
      <w:lvlJc w:val="left"/>
      <w:pPr>
        <w:ind w:left="5085" w:hanging="360"/>
      </w:pPr>
      <w:rPr>
        <w:rFonts w:ascii="Symbol" w:hAnsi="Symbol" w:hint="default"/>
      </w:rPr>
    </w:lvl>
    <w:lvl w:ilvl="7" w:tplc="5E347938" w:tentative="1">
      <w:start w:val="1"/>
      <w:numFmt w:val="bullet"/>
      <w:lvlText w:val="o"/>
      <w:lvlJc w:val="left"/>
      <w:pPr>
        <w:ind w:left="5805" w:hanging="360"/>
      </w:pPr>
      <w:rPr>
        <w:rFonts w:ascii="Courier New" w:hAnsi="Courier New" w:cs="Courier New" w:hint="default"/>
      </w:rPr>
    </w:lvl>
    <w:lvl w:ilvl="8" w:tplc="F3E2D812" w:tentative="1">
      <w:start w:val="1"/>
      <w:numFmt w:val="bullet"/>
      <w:lvlText w:val=""/>
      <w:lvlJc w:val="left"/>
      <w:pPr>
        <w:ind w:left="6525" w:hanging="360"/>
      </w:pPr>
      <w:rPr>
        <w:rFonts w:ascii="Wingdings" w:hAnsi="Wingdings" w:hint="default"/>
      </w:rPr>
    </w:lvl>
  </w:abstractNum>
  <w:abstractNum w:abstractNumId="6" w15:restartNumberingAfterBreak="0">
    <w:nsid w:val="67654D45"/>
    <w:multiLevelType w:val="hybridMultilevel"/>
    <w:tmpl w:val="786EA65A"/>
    <w:lvl w:ilvl="0" w:tplc="FF900248">
      <w:start w:val="1"/>
      <w:numFmt w:val="bullet"/>
      <w:lvlText w:val=""/>
      <w:lvlJc w:val="left"/>
      <w:pPr>
        <w:ind w:left="720" w:hanging="360"/>
      </w:pPr>
      <w:rPr>
        <w:rFonts w:ascii="Symbol" w:hAnsi="Symbol" w:hint="default"/>
      </w:rPr>
    </w:lvl>
    <w:lvl w:ilvl="1" w:tplc="BB5AEE56" w:tentative="1">
      <w:start w:val="1"/>
      <w:numFmt w:val="bullet"/>
      <w:lvlText w:val="o"/>
      <w:lvlJc w:val="left"/>
      <w:pPr>
        <w:ind w:left="1440" w:hanging="360"/>
      </w:pPr>
      <w:rPr>
        <w:rFonts w:ascii="Courier New" w:hAnsi="Courier New" w:cs="Courier New" w:hint="default"/>
      </w:rPr>
    </w:lvl>
    <w:lvl w:ilvl="2" w:tplc="DC2E8B60" w:tentative="1">
      <w:start w:val="1"/>
      <w:numFmt w:val="bullet"/>
      <w:lvlText w:val=""/>
      <w:lvlJc w:val="left"/>
      <w:pPr>
        <w:ind w:left="2160" w:hanging="360"/>
      </w:pPr>
      <w:rPr>
        <w:rFonts w:ascii="Wingdings" w:hAnsi="Wingdings" w:hint="default"/>
      </w:rPr>
    </w:lvl>
    <w:lvl w:ilvl="3" w:tplc="588EC03E" w:tentative="1">
      <w:start w:val="1"/>
      <w:numFmt w:val="bullet"/>
      <w:lvlText w:val=""/>
      <w:lvlJc w:val="left"/>
      <w:pPr>
        <w:ind w:left="2880" w:hanging="360"/>
      </w:pPr>
      <w:rPr>
        <w:rFonts w:ascii="Symbol" w:hAnsi="Symbol" w:hint="default"/>
      </w:rPr>
    </w:lvl>
    <w:lvl w:ilvl="4" w:tplc="827AE528" w:tentative="1">
      <w:start w:val="1"/>
      <w:numFmt w:val="bullet"/>
      <w:lvlText w:val="o"/>
      <w:lvlJc w:val="left"/>
      <w:pPr>
        <w:ind w:left="3600" w:hanging="360"/>
      </w:pPr>
      <w:rPr>
        <w:rFonts w:ascii="Courier New" w:hAnsi="Courier New" w:cs="Courier New" w:hint="default"/>
      </w:rPr>
    </w:lvl>
    <w:lvl w:ilvl="5" w:tplc="ADE49EAA" w:tentative="1">
      <w:start w:val="1"/>
      <w:numFmt w:val="bullet"/>
      <w:lvlText w:val=""/>
      <w:lvlJc w:val="left"/>
      <w:pPr>
        <w:ind w:left="4320" w:hanging="360"/>
      </w:pPr>
      <w:rPr>
        <w:rFonts w:ascii="Wingdings" w:hAnsi="Wingdings" w:hint="default"/>
      </w:rPr>
    </w:lvl>
    <w:lvl w:ilvl="6" w:tplc="6B807982" w:tentative="1">
      <w:start w:val="1"/>
      <w:numFmt w:val="bullet"/>
      <w:lvlText w:val=""/>
      <w:lvlJc w:val="left"/>
      <w:pPr>
        <w:ind w:left="5040" w:hanging="360"/>
      </w:pPr>
      <w:rPr>
        <w:rFonts w:ascii="Symbol" w:hAnsi="Symbol" w:hint="default"/>
      </w:rPr>
    </w:lvl>
    <w:lvl w:ilvl="7" w:tplc="D94CFC84" w:tentative="1">
      <w:start w:val="1"/>
      <w:numFmt w:val="bullet"/>
      <w:lvlText w:val="o"/>
      <w:lvlJc w:val="left"/>
      <w:pPr>
        <w:ind w:left="5760" w:hanging="360"/>
      </w:pPr>
      <w:rPr>
        <w:rFonts w:ascii="Courier New" w:hAnsi="Courier New" w:cs="Courier New" w:hint="default"/>
      </w:rPr>
    </w:lvl>
    <w:lvl w:ilvl="8" w:tplc="F5CAD498" w:tentative="1">
      <w:start w:val="1"/>
      <w:numFmt w:val="bullet"/>
      <w:lvlText w:val=""/>
      <w:lvlJc w:val="left"/>
      <w:pPr>
        <w:ind w:left="6480" w:hanging="360"/>
      </w:pPr>
      <w:rPr>
        <w:rFonts w:ascii="Wingdings" w:hAnsi="Wingdings" w:hint="default"/>
      </w:rPr>
    </w:lvl>
  </w:abstractNum>
  <w:abstractNum w:abstractNumId="7" w15:restartNumberingAfterBreak="0">
    <w:nsid w:val="67654D46"/>
    <w:multiLevelType w:val="hybridMultilevel"/>
    <w:tmpl w:val="9D3ECEA0"/>
    <w:lvl w:ilvl="0" w:tplc="4CDC1672">
      <w:start w:val="1"/>
      <w:numFmt w:val="bullet"/>
      <w:lvlText w:val=""/>
      <w:lvlJc w:val="left"/>
      <w:pPr>
        <w:ind w:left="720" w:hanging="360"/>
      </w:pPr>
      <w:rPr>
        <w:rFonts w:ascii="Symbol" w:hAnsi="Symbol" w:hint="default"/>
      </w:rPr>
    </w:lvl>
    <w:lvl w:ilvl="1" w:tplc="9B3AA670" w:tentative="1">
      <w:start w:val="1"/>
      <w:numFmt w:val="bullet"/>
      <w:lvlText w:val="o"/>
      <w:lvlJc w:val="left"/>
      <w:pPr>
        <w:ind w:left="1440" w:hanging="360"/>
      </w:pPr>
      <w:rPr>
        <w:rFonts w:ascii="Courier New" w:hAnsi="Courier New" w:cs="Courier New" w:hint="default"/>
      </w:rPr>
    </w:lvl>
    <w:lvl w:ilvl="2" w:tplc="B85E5EF2" w:tentative="1">
      <w:start w:val="1"/>
      <w:numFmt w:val="bullet"/>
      <w:lvlText w:val=""/>
      <w:lvlJc w:val="left"/>
      <w:pPr>
        <w:ind w:left="2160" w:hanging="360"/>
      </w:pPr>
      <w:rPr>
        <w:rFonts w:ascii="Wingdings" w:hAnsi="Wingdings" w:hint="default"/>
      </w:rPr>
    </w:lvl>
    <w:lvl w:ilvl="3" w:tplc="CD0A80FC" w:tentative="1">
      <w:start w:val="1"/>
      <w:numFmt w:val="bullet"/>
      <w:lvlText w:val=""/>
      <w:lvlJc w:val="left"/>
      <w:pPr>
        <w:ind w:left="2880" w:hanging="360"/>
      </w:pPr>
      <w:rPr>
        <w:rFonts w:ascii="Symbol" w:hAnsi="Symbol" w:hint="default"/>
      </w:rPr>
    </w:lvl>
    <w:lvl w:ilvl="4" w:tplc="BAF8647A" w:tentative="1">
      <w:start w:val="1"/>
      <w:numFmt w:val="bullet"/>
      <w:lvlText w:val="o"/>
      <w:lvlJc w:val="left"/>
      <w:pPr>
        <w:ind w:left="3600" w:hanging="360"/>
      </w:pPr>
      <w:rPr>
        <w:rFonts w:ascii="Courier New" w:hAnsi="Courier New" w:cs="Courier New" w:hint="default"/>
      </w:rPr>
    </w:lvl>
    <w:lvl w:ilvl="5" w:tplc="0B96F036" w:tentative="1">
      <w:start w:val="1"/>
      <w:numFmt w:val="bullet"/>
      <w:lvlText w:val=""/>
      <w:lvlJc w:val="left"/>
      <w:pPr>
        <w:ind w:left="4320" w:hanging="360"/>
      </w:pPr>
      <w:rPr>
        <w:rFonts w:ascii="Wingdings" w:hAnsi="Wingdings" w:hint="default"/>
      </w:rPr>
    </w:lvl>
    <w:lvl w:ilvl="6" w:tplc="F4BC6E36" w:tentative="1">
      <w:start w:val="1"/>
      <w:numFmt w:val="bullet"/>
      <w:lvlText w:val=""/>
      <w:lvlJc w:val="left"/>
      <w:pPr>
        <w:ind w:left="5040" w:hanging="360"/>
      </w:pPr>
      <w:rPr>
        <w:rFonts w:ascii="Symbol" w:hAnsi="Symbol" w:hint="default"/>
      </w:rPr>
    </w:lvl>
    <w:lvl w:ilvl="7" w:tplc="7A940A80" w:tentative="1">
      <w:start w:val="1"/>
      <w:numFmt w:val="bullet"/>
      <w:lvlText w:val="o"/>
      <w:lvlJc w:val="left"/>
      <w:pPr>
        <w:ind w:left="5760" w:hanging="360"/>
      </w:pPr>
      <w:rPr>
        <w:rFonts w:ascii="Courier New" w:hAnsi="Courier New" w:cs="Courier New" w:hint="default"/>
      </w:rPr>
    </w:lvl>
    <w:lvl w:ilvl="8" w:tplc="54D61A24" w:tentative="1">
      <w:start w:val="1"/>
      <w:numFmt w:val="bullet"/>
      <w:lvlText w:val=""/>
      <w:lvlJc w:val="left"/>
      <w:pPr>
        <w:ind w:left="6480" w:hanging="360"/>
      </w:pPr>
      <w:rPr>
        <w:rFonts w:ascii="Wingdings" w:hAnsi="Wingdings" w:hint="default"/>
      </w:rPr>
    </w:lvl>
  </w:abstractNum>
  <w:abstractNum w:abstractNumId="8" w15:restartNumberingAfterBreak="0">
    <w:nsid w:val="67654D47"/>
    <w:multiLevelType w:val="hybridMultilevel"/>
    <w:tmpl w:val="CFD48880"/>
    <w:lvl w:ilvl="0" w:tplc="BC4076D6">
      <w:start w:val="1"/>
      <w:numFmt w:val="decimal"/>
      <w:lvlText w:val="%1."/>
      <w:lvlJc w:val="left"/>
      <w:pPr>
        <w:tabs>
          <w:tab w:val="num" w:pos="720"/>
        </w:tabs>
        <w:ind w:left="720" w:hanging="360"/>
      </w:pPr>
      <w:rPr>
        <w:rFonts w:hint="default"/>
      </w:rPr>
    </w:lvl>
    <w:lvl w:ilvl="1" w:tplc="88B05E44">
      <w:numFmt w:val="bullet"/>
      <w:lvlText w:val="-"/>
      <w:lvlJc w:val="left"/>
      <w:pPr>
        <w:tabs>
          <w:tab w:val="num" w:pos="1440"/>
        </w:tabs>
        <w:ind w:left="1440" w:hanging="360"/>
      </w:pPr>
      <w:rPr>
        <w:rFonts w:ascii="Times New Roman" w:eastAsia="Times New Roman" w:hAnsi="Times New Roman" w:cs="Times New Roman" w:hint="default"/>
      </w:rPr>
    </w:lvl>
    <w:lvl w:ilvl="2" w:tplc="ABE84F60" w:tentative="1">
      <w:start w:val="1"/>
      <w:numFmt w:val="lowerRoman"/>
      <w:lvlText w:val="%3."/>
      <w:lvlJc w:val="right"/>
      <w:pPr>
        <w:tabs>
          <w:tab w:val="num" w:pos="2160"/>
        </w:tabs>
        <w:ind w:left="2160" w:hanging="180"/>
      </w:pPr>
    </w:lvl>
    <w:lvl w:ilvl="3" w:tplc="A8DEBFB4" w:tentative="1">
      <w:start w:val="1"/>
      <w:numFmt w:val="decimal"/>
      <w:lvlText w:val="%4."/>
      <w:lvlJc w:val="left"/>
      <w:pPr>
        <w:tabs>
          <w:tab w:val="num" w:pos="2880"/>
        </w:tabs>
        <w:ind w:left="2880" w:hanging="360"/>
      </w:pPr>
    </w:lvl>
    <w:lvl w:ilvl="4" w:tplc="D818A362" w:tentative="1">
      <w:start w:val="1"/>
      <w:numFmt w:val="lowerLetter"/>
      <w:lvlText w:val="%5."/>
      <w:lvlJc w:val="left"/>
      <w:pPr>
        <w:tabs>
          <w:tab w:val="num" w:pos="3600"/>
        </w:tabs>
        <w:ind w:left="3600" w:hanging="360"/>
      </w:pPr>
    </w:lvl>
    <w:lvl w:ilvl="5" w:tplc="74069AEC" w:tentative="1">
      <w:start w:val="1"/>
      <w:numFmt w:val="lowerRoman"/>
      <w:lvlText w:val="%6."/>
      <w:lvlJc w:val="right"/>
      <w:pPr>
        <w:tabs>
          <w:tab w:val="num" w:pos="4320"/>
        </w:tabs>
        <w:ind w:left="4320" w:hanging="180"/>
      </w:pPr>
    </w:lvl>
    <w:lvl w:ilvl="6" w:tplc="DC123864" w:tentative="1">
      <w:start w:val="1"/>
      <w:numFmt w:val="decimal"/>
      <w:lvlText w:val="%7."/>
      <w:lvlJc w:val="left"/>
      <w:pPr>
        <w:tabs>
          <w:tab w:val="num" w:pos="5040"/>
        </w:tabs>
        <w:ind w:left="5040" w:hanging="360"/>
      </w:pPr>
    </w:lvl>
    <w:lvl w:ilvl="7" w:tplc="B71EA11A" w:tentative="1">
      <w:start w:val="1"/>
      <w:numFmt w:val="lowerLetter"/>
      <w:lvlText w:val="%8."/>
      <w:lvlJc w:val="left"/>
      <w:pPr>
        <w:tabs>
          <w:tab w:val="num" w:pos="5760"/>
        </w:tabs>
        <w:ind w:left="5760" w:hanging="360"/>
      </w:pPr>
    </w:lvl>
    <w:lvl w:ilvl="8" w:tplc="DBB2BDF2"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8EE"/>
    <w:rsid w:val="002904DB"/>
    <w:rsid w:val="00650BD1"/>
    <w:rsid w:val="00766C0D"/>
    <w:rsid w:val="00E37A88"/>
    <w:rsid w:val="00E618EE"/>
    <w:rsid w:val="00FB6F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6F3F10-C627-4086-BFAC-46757ABF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6FDB"/>
    <w:pPr>
      <w:spacing w:after="0" w:line="240" w:lineRule="auto"/>
      <w:jc w:val="both"/>
    </w:pPr>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650BD1"/>
    <w:pPr>
      <w:tabs>
        <w:tab w:val="left" w:pos="1300"/>
      </w:tabs>
      <w:jc w:val="center"/>
    </w:pPr>
    <w:rPr>
      <w:rFonts w:eastAsia="Times New Roman" w:cs="Times New Roman"/>
      <w:b/>
      <w:bCs/>
      <w:sz w:val="28"/>
      <w:szCs w:val="24"/>
      <w:lang w:eastAsia="it-IT"/>
    </w:rPr>
  </w:style>
  <w:style w:type="character" w:customStyle="1" w:styleId="Corpodeltesto2Carattere">
    <w:name w:val="Corpo del testo 2 Carattere"/>
    <w:basedOn w:val="Carpredefinitoparagrafo"/>
    <w:link w:val="Corpodeltesto2"/>
    <w:rsid w:val="00650BD1"/>
    <w:rPr>
      <w:rFonts w:ascii="Times New Roman" w:eastAsia="Times New Roman" w:hAnsi="Times New Roman" w:cs="Times New Roman"/>
      <w:b/>
      <w:bCs/>
      <w:sz w:val="28"/>
      <w:szCs w:val="24"/>
      <w:lang w:eastAsia="it-IT"/>
    </w:rPr>
  </w:style>
  <w:style w:type="paragraph" w:styleId="Paragrafoelenco">
    <w:name w:val="List Paragraph"/>
    <w:basedOn w:val="Normale"/>
    <w:uiPriority w:val="34"/>
    <w:qFormat/>
    <w:rsid w:val="00650BD1"/>
    <w:pPr>
      <w:spacing w:after="200" w:line="276" w:lineRule="auto"/>
      <w:ind w:left="720"/>
      <w:contextualSpacing/>
      <w:jc w:val="left"/>
    </w:pPr>
    <w:rPr>
      <w:rFonts w:ascii="Calibri" w:eastAsia="Calibri" w:hAnsi="Calibri" w:cs="Times New Roman"/>
      <w:sz w:val="22"/>
    </w:rPr>
  </w:style>
  <w:style w:type="paragraph" w:customStyle="1" w:styleId="TxBrp3">
    <w:name w:val="TxBr_p3"/>
    <w:basedOn w:val="Normale"/>
    <w:rsid w:val="00650BD1"/>
    <w:pPr>
      <w:widowControl w:val="0"/>
      <w:tabs>
        <w:tab w:val="left" w:pos="300"/>
      </w:tabs>
      <w:autoSpaceDE w:val="0"/>
      <w:autoSpaceDN w:val="0"/>
      <w:adjustRightInd w:val="0"/>
      <w:spacing w:line="277" w:lineRule="atLeast"/>
      <w:ind w:left="1134" w:hanging="300"/>
      <w:jc w:val="left"/>
    </w:pPr>
    <w:rPr>
      <w:rFonts w:eastAsia="Times New Roman" w:cs="Times New Roman"/>
      <w:sz w:val="20"/>
      <w:szCs w:val="24"/>
      <w:lang w:val="en-US" w:eastAsia="it-IT"/>
    </w:rPr>
  </w:style>
  <w:style w:type="paragraph" w:customStyle="1" w:styleId="Default">
    <w:name w:val="Default"/>
    <w:rsid w:val="00650BD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essunaspaziatura">
    <w:name w:val="No Spacing"/>
    <w:uiPriority w:val="1"/>
    <w:qFormat/>
    <w:rsid w:val="00650BD1"/>
    <w:pPr>
      <w:widowControl w:val="0"/>
      <w:autoSpaceDE w:val="0"/>
      <w:autoSpaceDN w:val="0"/>
      <w:spacing w:after="0" w:line="240" w:lineRule="auto"/>
    </w:pPr>
    <w:rPr>
      <w:rFonts w:ascii="Times New Roman" w:eastAsia="Times New Roman" w:hAnsi="Times New Roman" w:cs="Times New Roman"/>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9881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Gianmarco Piovani</dc:creator>
  <cp:lastModifiedBy>Paola Taglialatela</cp:lastModifiedBy>
  <cp:revision>3</cp:revision>
  <dcterms:created xsi:type="dcterms:W3CDTF">2017-03-15T07:52:00Z</dcterms:created>
  <dcterms:modified xsi:type="dcterms:W3CDTF">2023-01-19T12:49:00Z</dcterms:modified>
</cp:coreProperties>
</file>