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1B1" w:rsidRPr="00790481" w:rsidRDefault="008521B1" w:rsidP="008521B1">
      <w:pPr>
        <w:pStyle w:val="Corpodeltesto2"/>
        <w:jc w:val="both"/>
        <w:rPr>
          <w:rFonts w:ascii="Arial" w:hAnsi="Arial" w:cs="Arial"/>
          <w:bCs w:val="0"/>
          <w:sz w:val="22"/>
          <w:szCs w:val="22"/>
        </w:rPr>
      </w:pPr>
      <w:r w:rsidRPr="00790481">
        <w:rPr>
          <w:rFonts w:ascii="Arial" w:hAnsi="Arial" w:cs="Arial"/>
          <w:bCs w:val="0"/>
          <w:sz w:val="22"/>
          <w:szCs w:val="22"/>
        </w:rPr>
        <w:t>RICHIAMATE:</w:t>
      </w:r>
    </w:p>
    <w:p w:rsidR="008521B1" w:rsidRPr="00790481" w:rsidRDefault="008521B1" w:rsidP="008521B1">
      <w:pPr>
        <w:pStyle w:val="Corpodeltesto2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Arial" w:hAnsi="Arial" w:cs="Arial"/>
          <w:b w:val="0"/>
          <w:sz w:val="22"/>
          <w:szCs w:val="22"/>
        </w:rPr>
      </w:pPr>
      <w:r w:rsidRPr="00790481">
        <w:rPr>
          <w:rFonts w:ascii="Arial" w:hAnsi="Arial" w:cs="Arial"/>
          <w:b w:val="0"/>
          <w:bCs w:val="0"/>
          <w:sz w:val="22"/>
          <w:szCs w:val="22"/>
        </w:rPr>
        <w:t>la L.R. 64/1998 di istituzione dell’A.R.T.A. – Agenzia Regionale per la Tutela dell’Ambiente;</w:t>
      </w:r>
    </w:p>
    <w:p w:rsidR="008521B1" w:rsidRPr="00790481" w:rsidRDefault="008521B1" w:rsidP="008521B1">
      <w:pPr>
        <w:pStyle w:val="Corpodeltesto2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Arial" w:hAnsi="Arial" w:cs="Arial"/>
          <w:b w:val="0"/>
          <w:sz w:val="22"/>
          <w:szCs w:val="22"/>
        </w:rPr>
      </w:pPr>
      <w:r w:rsidRPr="00790481">
        <w:rPr>
          <w:rFonts w:ascii="Arial" w:hAnsi="Arial" w:cs="Arial"/>
          <w:b w:val="0"/>
          <w:sz w:val="22"/>
          <w:szCs w:val="22"/>
        </w:rPr>
        <w:t>la</w:t>
      </w:r>
      <w:r w:rsidRPr="00790481">
        <w:rPr>
          <w:rFonts w:ascii="Arial" w:hAnsi="Arial" w:cs="Arial"/>
          <w:b w:val="0"/>
          <w:bCs w:val="0"/>
          <w:sz w:val="22"/>
          <w:szCs w:val="22"/>
        </w:rPr>
        <w:t xml:space="preserve"> L.R. n. 27/2010 con la quale sono state apportate modifiche ed integrazioni alla L.R n. 64/98;</w:t>
      </w:r>
    </w:p>
    <w:p w:rsidR="008521B1" w:rsidRPr="00790481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790481">
        <w:rPr>
          <w:rFonts w:ascii="Arial" w:hAnsi="Arial" w:cs="Arial"/>
          <w:szCs w:val="22"/>
        </w:rPr>
        <w:t>la</w:t>
      </w:r>
      <w:proofErr w:type="gramEnd"/>
      <w:r w:rsidRPr="00790481">
        <w:rPr>
          <w:rFonts w:ascii="Arial" w:hAnsi="Arial" w:cs="Arial"/>
          <w:szCs w:val="22"/>
        </w:rPr>
        <w:t xml:space="preserve"> DGR n. 2532/1999 con la quale è stata costituita l’Agenzia con sede legale in Pescara;</w:t>
      </w:r>
    </w:p>
    <w:p w:rsidR="008521B1" w:rsidRPr="00790481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790481">
        <w:rPr>
          <w:rFonts w:ascii="Arial" w:hAnsi="Arial" w:cs="Arial"/>
          <w:szCs w:val="22"/>
        </w:rPr>
        <w:t>la</w:t>
      </w:r>
      <w:proofErr w:type="gramEnd"/>
      <w:r w:rsidRPr="00790481">
        <w:rPr>
          <w:rFonts w:ascii="Arial" w:hAnsi="Arial" w:cs="Arial"/>
          <w:szCs w:val="22"/>
        </w:rPr>
        <w:t xml:space="preserve"> DGR n. 636/2012 e la successiva deliberazione n. 689/2013 con cui è stato approvato dalla Regione Abruzzo il Regolamento Generale dell’ARTA Abruzzo, adottato con deliberazione del Direttore Generale n. 36 del 21.02.2013;</w:t>
      </w:r>
    </w:p>
    <w:p w:rsidR="008521B1" w:rsidRPr="00790481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790481">
        <w:rPr>
          <w:rFonts w:ascii="Arial" w:hAnsi="Arial" w:cs="Arial"/>
          <w:szCs w:val="22"/>
        </w:rPr>
        <w:t>la</w:t>
      </w:r>
      <w:proofErr w:type="gramEnd"/>
      <w:r w:rsidRPr="00790481">
        <w:rPr>
          <w:rFonts w:ascii="Arial" w:hAnsi="Arial" w:cs="Arial"/>
          <w:szCs w:val="22"/>
        </w:rPr>
        <w:t xml:space="preserve"> Legge n. 132/2016 “Istituzione del Sistema Nazionale per la Protezione dell’Ambiente e disciplina dell’Istituto Superiore per la Protezione e la Ricerca Ambientale”;</w:t>
      </w:r>
    </w:p>
    <w:p w:rsidR="008521B1" w:rsidRPr="00790481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790481">
        <w:rPr>
          <w:rFonts w:ascii="Arial" w:hAnsi="Arial" w:cs="Arial"/>
          <w:szCs w:val="22"/>
        </w:rPr>
        <w:t>la</w:t>
      </w:r>
      <w:proofErr w:type="gramEnd"/>
      <w:r w:rsidRPr="00790481">
        <w:rPr>
          <w:rFonts w:ascii="Arial" w:hAnsi="Arial" w:cs="Arial"/>
          <w:szCs w:val="22"/>
        </w:rPr>
        <w:t xml:space="preserve"> L.R. 3/2002, art. 47 prevede che i bilanci delle Agenzie Regionali sono approvati dal Consiglio Regionale con appositi articoli della legge di bilancio;</w:t>
      </w:r>
    </w:p>
    <w:p w:rsidR="008521B1" w:rsidRPr="00790481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790481">
        <w:rPr>
          <w:rFonts w:ascii="Arial" w:hAnsi="Arial" w:cs="Arial"/>
          <w:bCs/>
          <w:szCs w:val="22"/>
        </w:rPr>
        <w:t>la</w:t>
      </w:r>
      <w:proofErr w:type="gramEnd"/>
      <w:r w:rsidRPr="00790481">
        <w:rPr>
          <w:rFonts w:ascii="Arial" w:hAnsi="Arial" w:cs="Arial"/>
          <w:bCs/>
          <w:szCs w:val="22"/>
        </w:rPr>
        <w:t xml:space="preserve"> L.R. 47/2006 con la quale è stato introdotto </w:t>
      </w:r>
      <w:r w:rsidRPr="00790481">
        <w:rPr>
          <w:rFonts w:ascii="Arial" w:hAnsi="Arial" w:cs="Arial"/>
          <w:szCs w:val="22"/>
        </w:rPr>
        <w:t>l’art. 11 bis della L.R. 64/2008</w:t>
      </w:r>
      <w:r w:rsidRPr="00790481">
        <w:rPr>
          <w:rFonts w:ascii="Arial" w:hAnsi="Arial" w:cs="Arial"/>
          <w:bCs/>
          <w:szCs w:val="22"/>
        </w:rPr>
        <w:t xml:space="preserve"> che dispone che la gestione finanziaria della A.R.T.A. è tenuta secondo i principi di contabilità finanziaria, applicando per quanto possibile la L.R. 3 marzo 2002 n. 3</w:t>
      </w:r>
      <w:r w:rsidRPr="00790481">
        <w:rPr>
          <w:rFonts w:ascii="Arial" w:hAnsi="Arial" w:cs="Arial"/>
          <w:szCs w:val="22"/>
        </w:rPr>
        <w:t>;</w:t>
      </w:r>
    </w:p>
    <w:p w:rsidR="008521B1" w:rsidRDefault="008521B1" w:rsidP="008521B1">
      <w:pPr>
        <w:rPr>
          <w:rFonts w:ascii="Arial" w:hAnsi="Arial" w:cs="Arial"/>
        </w:rPr>
      </w:pPr>
    </w:p>
    <w:p w:rsidR="008521B1" w:rsidRDefault="008521B1" w:rsidP="008521B1">
      <w:pPr>
        <w:rPr>
          <w:rFonts w:ascii="Arial" w:hAnsi="Arial" w:cs="Arial"/>
          <w:b/>
          <w:caps/>
          <w:sz w:val="22"/>
        </w:rPr>
      </w:pPr>
      <w:r>
        <w:rPr>
          <w:rFonts w:ascii="Arial" w:hAnsi="Arial" w:cs="Arial"/>
          <w:b/>
          <w:caps/>
          <w:sz w:val="22"/>
        </w:rPr>
        <w:t>richiamatI:</w:t>
      </w:r>
    </w:p>
    <w:p w:rsidR="008521B1" w:rsidRPr="003919C4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C470B5">
        <w:rPr>
          <w:rFonts w:ascii="Arial" w:hAnsi="Arial" w:cs="Arial"/>
          <w:szCs w:val="22"/>
        </w:rPr>
        <w:t>il</w:t>
      </w:r>
      <w:proofErr w:type="gramEnd"/>
      <w:r w:rsidRPr="00C470B5">
        <w:rPr>
          <w:rFonts w:ascii="Arial" w:hAnsi="Arial" w:cs="Arial"/>
          <w:szCs w:val="22"/>
        </w:rPr>
        <w:t xml:space="preserve"> </w:t>
      </w:r>
      <w:proofErr w:type="spellStart"/>
      <w:r w:rsidRPr="00C470B5">
        <w:rPr>
          <w:rFonts w:ascii="Arial" w:hAnsi="Arial" w:cs="Arial"/>
          <w:szCs w:val="22"/>
        </w:rPr>
        <w:t>D.Lgs.</w:t>
      </w:r>
      <w:proofErr w:type="spellEnd"/>
      <w:r w:rsidRPr="00C470B5">
        <w:rPr>
          <w:rFonts w:ascii="Arial" w:hAnsi="Arial" w:cs="Arial"/>
          <w:szCs w:val="22"/>
        </w:rPr>
        <w:t xml:space="preserve"> 23 giugno 2011 n. 118, come modificato ed integrato dal </w:t>
      </w:r>
      <w:proofErr w:type="spellStart"/>
      <w:r w:rsidRPr="00C470B5">
        <w:rPr>
          <w:rFonts w:ascii="Arial" w:hAnsi="Arial" w:cs="Arial"/>
          <w:szCs w:val="22"/>
        </w:rPr>
        <w:t>D.Lgs.</w:t>
      </w:r>
      <w:proofErr w:type="spellEnd"/>
      <w:r w:rsidRPr="00C470B5">
        <w:rPr>
          <w:rFonts w:ascii="Arial" w:hAnsi="Arial" w:cs="Arial"/>
          <w:szCs w:val="22"/>
        </w:rPr>
        <w:t xml:space="preserve"> 10 agosto 2014 n. 126, a norma degli articoli 1 e 2 de</w:t>
      </w:r>
      <w:r>
        <w:rPr>
          <w:rFonts w:ascii="Arial" w:hAnsi="Arial" w:cs="Arial"/>
          <w:szCs w:val="22"/>
        </w:rPr>
        <w:t xml:space="preserve">lla Legge 5 maggio 2009, n. 42, </w:t>
      </w:r>
      <w:r w:rsidRPr="003919C4">
        <w:rPr>
          <w:rFonts w:ascii="Arial" w:hAnsi="Arial" w:cs="Arial"/>
          <w:szCs w:val="22"/>
        </w:rPr>
        <w:t>recante disposizioni in materia di armonizzazione dei sistemi contabili e degli schemi di bilancio delle Regioni, degli enti locali e dei loro organismi, a norma degli articoli 1 e 2 della legge 5 maggio 2009 n. 42;</w:t>
      </w:r>
    </w:p>
    <w:p w:rsidR="008521B1" w:rsidRPr="007A4D65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5B542A">
        <w:rPr>
          <w:rFonts w:ascii="Arial" w:hAnsi="Arial" w:cs="Arial"/>
        </w:rPr>
        <w:t>il</w:t>
      </w:r>
      <w:proofErr w:type="gramEnd"/>
      <w:r w:rsidRPr="005B542A">
        <w:rPr>
          <w:rFonts w:ascii="Arial" w:hAnsi="Arial" w:cs="Arial"/>
        </w:rPr>
        <w:t xml:space="preserve"> Principio contabile applicato concernente la contabilità finanziaria (allegato 4/2 al </w:t>
      </w:r>
      <w:proofErr w:type="spellStart"/>
      <w:r w:rsidRPr="005B542A">
        <w:rPr>
          <w:rFonts w:ascii="Arial" w:hAnsi="Arial" w:cs="Arial"/>
        </w:rPr>
        <w:t>D.Lgs.</w:t>
      </w:r>
      <w:proofErr w:type="spellEnd"/>
      <w:r w:rsidRPr="005B542A">
        <w:rPr>
          <w:rFonts w:ascii="Arial" w:hAnsi="Arial" w:cs="Arial"/>
        </w:rPr>
        <w:t xml:space="preserve"> 118/2011 e successive modifiche ed integrazioni)</w:t>
      </w:r>
      <w:r>
        <w:rPr>
          <w:rFonts w:ascii="Arial" w:hAnsi="Arial" w:cs="Arial"/>
        </w:rPr>
        <w:t>;</w:t>
      </w:r>
    </w:p>
    <w:p w:rsidR="008521B1" w:rsidRPr="007A4D65" w:rsidRDefault="008521B1" w:rsidP="008521B1">
      <w:pPr>
        <w:pStyle w:val="Paragrafoelenco"/>
        <w:widowControl/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D.lgs</w:t>
      </w:r>
      <w:proofErr w:type="spellEnd"/>
      <w:r>
        <w:rPr>
          <w:rFonts w:ascii="Arial" w:hAnsi="Arial" w:cs="Arial"/>
        </w:rPr>
        <w:t xml:space="preserve"> n. 36/2023;</w:t>
      </w:r>
    </w:p>
    <w:p w:rsidR="008521B1" w:rsidRPr="00961DFE" w:rsidRDefault="008521B1" w:rsidP="008521B1">
      <w:pPr>
        <w:rPr>
          <w:rFonts w:ascii="Arial" w:hAnsi="Arial" w:cs="Arial"/>
          <w:b/>
          <w:sz w:val="22"/>
        </w:rPr>
      </w:pPr>
    </w:p>
    <w:p w:rsidR="008521B1" w:rsidRPr="00A2409B" w:rsidRDefault="008521B1" w:rsidP="008521B1">
      <w:pPr>
        <w:rPr>
          <w:rFonts w:ascii="Arial" w:hAnsi="Arial" w:cs="Arial"/>
          <w:b/>
          <w:sz w:val="22"/>
        </w:rPr>
      </w:pPr>
      <w:r w:rsidRPr="00A2409B">
        <w:rPr>
          <w:rFonts w:ascii="Arial" w:hAnsi="Arial" w:cs="Arial"/>
          <w:b/>
          <w:sz w:val="22"/>
        </w:rPr>
        <w:t>VISTE:</w:t>
      </w:r>
    </w:p>
    <w:p w:rsidR="008521B1" w:rsidRDefault="008521B1" w:rsidP="008521B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gramStart"/>
      <w:r w:rsidRPr="00A2409B">
        <w:rPr>
          <w:rFonts w:ascii="Arial" w:hAnsi="Arial" w:cs="Arial"/>
          <w:szCs w:val="22"/>
        </w:rPr>
        <w:t>la</w:t>
      </w:r>
      <w:proofErr w:type="gramEnd"/>
      <w:r w:rsidRPr="00A2409B">
        <w:rPr>
          <w:rFonts w:ascii="Arial" w:hAnsi="Arial" w:cs="Arial"/>
          <w:szCs w:val="22"/>
        </w:rPr>
        <w:t xml:space="preserve"> Deliberazione del Direttore Generale n. 5 del 20/01/2023 di adozione del bilancio di Previsione 2023, 2024,2025</w:t>
      </w:r>
      <w:r>
        <w:rPr>
          <w:rFonts w:ascii="Arial" w:hAnsi="Arial" w:cs="Arial"/>
          <w:szCs w:val="22"/>
        </w:rPr>
        <w:t xml:space="preserve"> approvato, ai sensi </w:t>
      </w:r>
      <w:r w:rsidRPr="00A2409B">
        <w:rPr>
          <w:rFonts w:ascii="Arial" w:hAnsi="Arial" w:cs="Arial"/>
          <w:szCs w:val="22"/>
        </w:rPr>
        <w:t>della vigente normativa, con DGR</w:t>
      </w:r>
      <w:r>
        <w:rPr>
          <w:rFonts w:ascii="Arial" w:hAnsi="Arial" w:cs="Arial"/>
          <w:szCs w:val="22"/>
        </w:rPr>
        <w:t xml:space="preserve"> della Regione Abruzzo</w:t>
      </w:r>
      <w:r w:rsidRPr="00A2409B">
        <w:rPr>
          <w:rFonts w:ascii="Arial" w:hAnsi="Arial" w:cs="Arial"/>
          <w:szCs w:val="22"/>
        </w:rPr>
        <w:t xml:space="preserve"> n. 160 del 24/03/2023</w:t>
      </w:r>
      <w:r w:rsidRPr="00B95F5A">
        <w:rPr>
          <w:rFonts w:ascii="Arial" w:hAnsi="Arial" w:cs="Arial"/>
        </w:rPr>
        <w:t>;</w:t>
      </w:r>
    </w:p>
    <w:p w:rsidR="008521B1" w:rsidRPr="00A2409B" w:rsidRDefault="008521B1" w:rsidP="008521B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gramStart"/>
      <w:r w:rsidRPr="00A2409B">
        <w:rPr>
          <w:rFonts w:ascii="Arial" w:hAnsi="Arial" w:cs="Arial"/>
          <w:szCs w:val="22"/>
        </w:rPr>
        <w:t>la</w:t>
      </w:r>
      <w:proofErr w:type="gramEnd"/>
      <w:r w:rsidRPr="00A2409B">
        <w:rPr>
          <w:rFonts w:ascii="Arial" w:hAnsi="Arial" w:cs="Arial"/>
          <w:szCs w:val="22"/>
        </w:rPr>
        <w:t xml:space="preserve"> Deliberazione del Direttore Generale n. 72 del 30/06/2023 di adozione del prima variazione al Bilancio di Previsione 2023 – 2025</w:t>
      </w:r>
      <w:r>
        <w:rPr>
          <w:rFonts w:ascii="Arial" w:hAnsi="Arial" w:cs="Arial"/>
          <w:szCs w:val="22"/>
        </w:rPr>
        <w:t>;</w:t>
      </w:r>
    </w:p>
    <w:p w:rsidR="008521B1" w:rsidRPr="00A2409B" w:rsidRDefault="008521B1" w:rsidP="008521B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gramStart"/>
      <w:r w:rsidRPr="00A2409B">
        <w:rPr>
          <w:rFonts w:ascii="Arial" w:hAnsi="Arial" w:cs="Arial"/>
          <w:szCs w:val="22"/>
        </w:rPr>
        <w:t>la</w:t>
      </w:r>
      <w:proofErr w:type="gramEnd"/>
      <w:r w:rsidRPr="00A2409B">
        <w:rPr>
          <w:rFonts w:ascii="Arial" w:hAnsi="Arial" w:cs="Arial"/>
          <w:szCs w:val="22"/>
        </w:rPr>
        <w:t xml:space="preserve"> Deliberazione del Direttore Generale n. 94 del 13/09/2023 di adozione della seconda variazione al Bilancio di Previsione 2023 – 2025</w:t>
      </w:r>
      <w:r>
        <w:rPr>
          <w:rFonts w:ascii="Arial" w:hAnsi="Arial" w:cs="Arial"/>
          <w:szCs w:val="22"/>
        </w:rPr>
        <w:t>;</w:t>
      </w:r>
    </w:p>
    <w:p w:rsidR="008521B1" w:rsidRPr="00262CFC" w:rsidRDefault="008521B1" w:rsidP="008521B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A2409B">
        <w:rPr>
          <w:rFonts w:ascii="Arial" w:hAnsi="Arial" w:cs="Arial"/>
          <w:szCs w:val="22"/>
        </w:rPr>
        <w:t>la</w:t>
      </w:r>
      <w:proofErr w:type="gramEnd"/>
      <w:r w:rsidRPr="00A2409B">
        <w:rPr>
          <w:rFonts w:ascii="Arial" w:hAnsi="Arial" w:cs="Arial"/>
          <w:szCs w:val="22"/>
        </w:rPr>
        <w:t xml:space="preserve"> Deliberazione del Direttore Generale n. 132 del 30/11/2023 di adozione della variazione </w:t>
      </w:r>
      <w:r w:rsidRPr="00262CFC">
        <w:rPr>
          <w:rFonts w:ascii="Arial" w:hAnsi="Arial" w:cs="Arial"/>
          <w:szCs w:val="22"/>
        </w:rPr>
        <w:t>di assestamento al Bilancio di Previsione 2023 – 2025;</w:t>
      </w:r>
    </w:p>
    <w:p w:rsidR="008521B1" w:rsidRDefault="008521B1" w:rsidP="008521B1">
      <w:pPr>
        <w:rPr>
          <w:rFonts w:ascii="Arial" w:hAnsi="Arial" w:cs="Arial"/>
          <w:b/>
          <w:sz w:val="22"/>
        </w:rPr>
      </w:pPr>
    </w:p>
    <w:p w:rsidR="008521B1" w:rsidRDefault="008521B1" w:rsidP="008521B1">
      <w:pPr>
        <w:rPr>
          <w:rFonts w:ascii="Arial" w:hAnsi="Arial" w:cs="Arial"/>
          <w:sz w:val="22"/>
        </w:rPr>
      </w:pPr>
      <w:r w:rsidRPr="00262CFC">
        <w:rPr>
          <w:rFonts w:ascii="Arial" w:hAnsi="Arial" w:cs="Arial"/>
          <w:b/>
          <w:sz w:val="22"/>
        </w:rPr>
        <w:t>VISTA</w:t>
      </w:r>
      <w:r w:rsidRPr="00262CFC">
        <w:rPr>
          <w:rFonts w:ascii="Arial" w:hAnsi="Arial" w:cs="Arial"/>
          <w:sz w:val="22"/>
        </w:rPr>
        <w:t xml:space="preserve">, altresì, la Deliberazione del Direttore Generale n. 70 del 28/06/2023 di adozione del Rendiconto Generale anno </w:t>
      </w:r>
      <w:r>
        <w:rPr>
          <w:rFonts w:ascii="Arial" w:hAnsi="Arial" w:cs="Arial"/>
          <w:sz w:val="22"/>
        </w:rPr>
        <w:t>2022;</w:t>
      </w:r>
    </w:p>
    <w:p w:rsidR="008521B1" w:rsidRDefault="008521B1" w:rsidP="008521B1">
      <w:pPr>
        <w:rPr>
          <w:rFonts w:ascii="Arial" w:hAnsi="Arial" w:cs="Arial"/>
          <w:sz w:val="22"/>
        </w:rPr>
      </w:pPr>
    </w:p>
    <w:p w:rsidR="008521B1" w:rsidRDefault="008521B1" w:rsidP="008521B1">
      <w:pPr>
        <w:rPr>
          <w:rFonts w:ascii="Arial" w:hAnsi="Arial" w:cs="Arial"/>
          <w:sz w:val="22"/>
        </w:rPr>
      </w:pPr>
      <w:r w:rsidRPr="003504FF">
        <w:rPr>
          <w:rFonts w:ascii="Arial" w:hAnsi="Arial" w:cs="Arial"/>
          <w:b/>
          <w:sz w:val="22"/>
        </w:rPr>
        <w:t>VISTA</w:t>
      </w:r>
      <w:r>
        <w:rPr>
          <w:rFonts w:ascii="Arial" w:hAnsi="Arial" w:cs="Arial"/>
          <w:sz w:val="22"/>
        </w:rPr>
        <w:t xml:space="preserve"> la determina n. 657 del 30/04/2024 con la quale si provvedeva al </w:t>
      </w:r>
      <w:proofErr w:type="spellStart"/>
      <w:r>
        <w:rPr>
          <w:rFonts w:ascii="Arial" w:hAnsi="Arial" w:cs="Arial"/>
          <w:sz w:val="22"/>
        </w:rPr>
        <w:t>riaccertamento</w:t>
      </w:r>
      <w:proofErr w:type="spellEnd"/>
      <w:r>
        <w:rPr>
          <w:rFonts w:ascii="Arial" w:hAnsi="Arial" w:cs="Arial"/>
          <w:sz w:val="22"/>
        </w:rPr>
        <w:t xml:space="preserve"> ordinario e </w:t>
      </w:r>
      <w:proofErr w:type="spellStart"/>
      <w:r>
        <w:rPr>
          <w:rFonts w:ascii="Arial" w:hAnsi="Arial" w:cs="Arial"/>
          <w:sz w:val="22"/>
        </w:rPr>
        <w:t>reimputazione</w:t>
      </w:r>
      <w:proofErr w:type="spellEnd"/>
      <w:r>
        <w:rPr>
          <w:rFonts w:ascii="Arial" w:hAnsi="Arial" w:cs="Arial"/>
          <w:sz w:val="22"/>
        </w:rPr>
        <w:t xml:space="preserve"> dei residui attivi e passivi;</w:t>
      </w:r>
    </w:p>
    <w:p w:rsidR="008521B1" w:rsidRDefault="008521B1" w:rsidP="008521B1">
      <w:pPr>
        <w:rPr>
          <w:rFonts w:ascii="Arial" w:hAnsi="Arial" w:cs="Arial"/>
          <w:sz w:val="22"/>
        </w:rPr>
      </w:pPr>
    </w:p>
    <w:p w:rsidR="008521B1" w:rsidRDefault="008521B1" w:rsidP="008521B1">
      <w:pPr>
        <w:rPr>
          <w:rFonts w:ascii="Arial" w:hAnsi="Arial" w:cs="Arial"/>
          <w:sz w:val="22"/>
        </w:rPr>
      </w:pPr>
      <w:r w:rsidRPr="003504FF">
        <w:rPr>
          <w:rFonts w:ascii="Arial" w:hAnsi="Arial" w:cs="Arial"/>
          <w:b/>
          <w:sz w:val="22"/>
        </w:rPr>
        <w:t>CONSIDERATO</w:t>
      </w:r>
      <w:r>
        <w:rPr>
          <w:rFonts w:ascii="Arial" w:hAnsi="Arial" w:cs="Arial"/>
          <w:sz w:val="22"/>
        </w:rPr>
        <w:t xml:space="preserve"> che da un ulteriore controllo effettuato è emerso che gli importi delle somme da </w:t>
      </w:r>
      <w:proofErr w:type="spellStart"/>
      <w:r>
        <w:rPr>
          <w:rFonts w:ascii="Arial" w:hAnsi="Arial" w:cs="Arial"/>
          <w:sz w:val="22"/>
        </w:rPr>
        <w:t>reiscrivere</w:t>
      </w:r>
      <w:proofErr w:type="spellEnd"/>
      <w:r>
        <w:rPr>
          <w:rFonts w:ascii="Arial" w:hAnsi="Arial" w:cs="Arial"/>
          <w:sz w:val="22"/>
        </w:rPr>
        <w:t xml:space="preserve">, della parte delle entrata, sono da riconsiderare per essere riallineati alla loro effettiva natura di residui pertanto non </w:t>
      </w:r>
      <w:proofErr w:type="spellStart"/>
      <w:r>
        <w:rPr>
          <w:rFonts w:ascii="Arial" w:hAnsi="Arial" w:cs="Arial"/>
          <w:sz w:val="22"/>
        </w:rPr>
        <w:t>reimputabili</w:t>
      </w:r>
      <w:proofErr w:type="spellEnd"/>
      <w:r>
        <w:rPr>
          <w:rFonts w:ascii="Arial" w:hAnsi="Arial" w:cs="Arial"/>
          <w:sz w:val="22"/>
        </w:rPr>
        <w:t xml:space="preserve"> all’esercizio successivo;</w:t>
      </w:r>
    </w:p>
    <w:p w:rsidR="008521B1" w:rsidRDefault="008521B1" w:rsidP="008521B1">
      <w:pPr>
        <w:rPr>
          <w:rFonts w:ascii="Arial" w:hAnsi="Arial" w:cs="Arial"/>
          <w:sz w:val="22"/>
        </w:rPr>
      </w:pPr>
    </w:p>
    <w:p w:rsidR="008521B1" w:rsidRPr="00262CFC" w:rsidRDefault="008521B1" w:rsidP="008521B1">
      <w:pPr>
        <w:rPr>
          <w:rFonts w:ascii="Arial" w:hAnsi="Arial" w:cs="Arial"/>
          <w:sz w:val="22"/>
        </w:rPr>
      </w:pPr>
      <w:r w:rsidRPr="00FB76E4">
        <w:rPr>
          <w:rFonts w:ascii="Arial" w:hAnsi="Arial" w:cs="Arial"/>
          <w:b/>
          <w:sz w:val="22"/>
        </w:rPr>
        <w:t>VERIFICATA</w:t>
      </w:r>
      <w:r>
        <w:rPr>
          <w:rFonts w:ascii="Arial" w:hAnsi="Arial" w:cs="Arial"/>
          <w:sz w:val="22"/>
        </w:rPr>
        <w:t xml:space="preserve"> quindi la necessità di dover annullare la determina n. 657 del 30/04/2024 e provvedere ad un nuovo </w:t>
      </w:r>
      <w:proofErr w:type="spellStart"/>
      <w:r>
        <w:rPr>
          <w:rFonts w:ascii="Arial" w:hAnsi="Arial" w:cs="Arial"/>
          <w:sz w:val="22"/>
        </w:rPr>
        <w:t>riaccertamento</w:t>
      </w:r>
      <w:proofErr w:type="spellEnd"/>
      <w:r>
        <w:rPr>
          <w:rFonts w:ascii="Arial" w:hAnsi="Arial" w:cs="Arial"/>
          <w:sz w:val="22"/>
        </w:rPr>
        <w:t xml:space="preserve"> ordinario e </w:t>
      </w:r>
      <w:proofErr w:type="spellStart"/>
      <w:r>
        <w:rPr>
          <w:rFonts w:ascii="Arial" w:hAnsi="Arial" w:cs="Arial"/>
          <w:sz w:val="22"/>
        </w:rPr>
        <w:t>reimputazione</w:t>
      </w:r>
      <w:proofErr w:type="spellEnd"/>
      <w:r>
        <w:rPr>
          <w:rFonts w:ascii="Arial" w:hAnsi="Arial" w:cs="Arial"/>
          <w:sz w:val="22"/>
        </w:rPr>
        <w:t xml:space="preserve"> dei residui attivi e passivi;</w:t>
      </w:r>
    </w:p>
    <w:p w:rsidR="008521B1" w:rsidRDefault="008521B1" w:rsidP="008521B1">
      <w:pPr>
        <w:rPr>
          <w:rFonts w:ascii="Arial" w:hAnsi="Arial" w:cs="Arial"/>
          <w:sz w:val="22"/>
        </w:rPr>
      </w:pPr>
    </w:p>
    <w:p w:rsidR="008521B1" w:rsidRPr="0079048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90481">
        <w:rPr>
          <w:rFonts w:ascii="Arial" w:hAnsi="Arial" w:cs="Arial"/>
          <w:b/>
          <w:caps/>
          <w:sz w:val="22"/>
          <w:szCs w:val="22"/>
        </w:rPr>
        <w:t>considerato</w:t>
      </w:r>
      <w:r w:rsidRPr="00790481">
        <w:rPr>
          <w:rFonts w:ascii="Arial" w:hAnsi="Arial" w:cs="Arial"/>
          <w:sz w:val="22"/>
          <w:szCs w:val="22"/>
        </w:rPr>
        <w:t xml:space="preserve"> che la normativa vigente prevede che “</w:t>
      </w:r>
      <w:r w:rsidRPr="00790481">
        <w:rPr>
          <w:rFonts w:ascii="Arial" w:hAnsi="Arial" w:cs="Arial"/>
          <w:i/>
          <w:iCs/>
          <w:sz w:val="22"/>
          <w:szCs w:val="22"/>
        </w:rPr>
        <w:t xml:space="preserve">Prima dell'inserimento nel conto del bilancio dei residui attivi e passivi l'ente locale provvede all'operazione di </w:t>
      </w:r>
      <w:proofErr w:type="spellStart"/>
      <w:r w:rsidRPr="00790481">
        <w:rPr>
          <w:rFonts w:ascii="Arial" w:hAnsi="Arial" w:cs="Arial"/>
          <w:i/>
          <w:iCs/>
          <w:sz w:val="22"/>
          <w:szCs w:val="22"/>
        </w:rPr>
        <w:t>riaccertamento</w:t>
      </w:r>
      <w:proofErr w:type="spellEnd"/>
      <w:r w:rsidRPr="00790481">
        <w:rPr>
          <w:rFonts w:ascii="Arial" w:hAnsi="Arial" w:cs="Arial"/>
          <w:i/>
          <w:iCs/>
          <w:sz w:val="22"/>
          <w:szCs w:val="22"/>
        </w:rPr>
        <w:t xml:space="preserve"> degli stessi, consistente nella revisione delle ragioni del mantenimento in tutto od in parte dei residui e </w:t>
      </w:r>
      <w:r w:rsidRPr="00790481">
        <w:rPr>
          <w:rFonts w:ascii="Arial" w:hAnsi="Arial" w:cs="Arial"/>
          <w:i/>
          <w:iCs/>
          <w:sz w:val="22"/>
          <w:szCs w:val="22"/>
        </w:rPr>
        <w:lastRenderedPageBreak/>
        <w:t>della corretta imputazione in bilancio, secondo le modalità di cui all'art. 3, comma 4, del decreto legislativo 23 giugno 2011, n. 118, e successive modificazioni”</w:t>
      </w:r>
      <w:r w:rsidRPr="00790481">
        <w:rPr>
          <w:rFonts w:ascii="Arial" w:hAnsi="Arial" w:cs="Arial"/>
          <w:sz w:val="22"/>
          <w:szCs w:val="22"/>
        </w:rPr>
        <w:t xml:space="preserve">; </w:t>
      </w:r>
    </w:p>
    <w:p w:rsidR="008521B1" w:rsidRPr="0079048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8521B1" w:rsidRPr="0079048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90481">
        <w:rPr>
          <w:rFonts w:ascii="Arial" w:hAnsi="Arial" w:cs="Arial"/>
          <w:b/>
          <w:caps/>
          <w:sz w:val="22"/>
          <w:szCs w:val="22"/>
        </w:rPr>
        <w:t>VISTO</w:t>
      </w:r>
      <w:r w:rsidRPr="00790481">
        <w:rPr>
          <w:rFonts w:ascii="Arial" w:hAnsi="Arial" w:cs="Arial"/>
          <w:sz w:val="22"/>
          <w:szCs w:val="22"/>
        </w:rPr>
        <w:t xml:space="preserve"> l’articolo 3, comma 4, del </w:t>
      </w:r>
      <w:proofErr w:type="spellStart"/>
      <w:r w:rsidRPr="00790481">
        <w:rPr>
          <w:rFonts w:ascii="Arial" w:hAnsi="Arial" w:cs="Arial"/>
          <w:sz w:val="22"/>
          <w:szCs w:val="22"/>
        </w:rPr>
        <w:t>d.Lgs.</w:t>
      </w:r>
      <w:proofErr w:type="spellEnd"/>
      <w:r w:rsidRPr="00790481">
        <w:rPr>
          <w:rFonts w:ascii="Arial" w:hAnsi="Arial" w:cs="Arial"/>
          <w:sz w:val="22"/>
          <w:szCs w:val="22"/>
        </w:rPr>
        <w:t xml:space="preserve"> n. 118/2011, il quale prevede che “</w:t>
      </w:r>
      <w:r w:rsidRPr="00790481">
        <w:rPr>
          <w:rFonts w:ascii="Arial" w:hAnsi="Arial" w:cs="Arial"/>
          <w:i/>
          <w:iCs/>
          <w:sz w:val="22"/>
          <w:szCs w:val="22"/>
        </w:rPr>
        <w:t xml:space="preserve">Possono essere conservati tra i residui attivi le entrate accertate esigibili nell’esercizio di riferimento, ma non incassate. Possono essere conservate tra i residui passivi le spese impegnate, liquidate o liquidabili nel corso di tale esercizio, ma non pagate. Le entrate e le spese accertate e impegnate non esigibili nell’esercizio considerato, sono immediatamente re-imputate all’esercizio in cui sono esigibili. La </w:t>
      </w:r>
      <w:proofErr w:type="spellStart"/>
      <w:r w:rsidRPr="00790481">
        <w:rPr>
          <w:rFonts w:ascii="Arial" w:hAnsi="Arial" w:cs="Arial"/>
          <w:i/>
          <w:iCs/>
          <w:sz w:val="22"/>
          <w:szCs w:val="22"/>
        </w:rPr>
        <w:t>reimputazione</w:t>
      </w:r>
      <w:proofErr w:type="spellEnd"/>
      <w:r w:rsidRPr="00790481">
        <w:rPr>
          <w:rFonts w:ascii="Arial" w:hAnsi="Arial" w:cs="Arial"/>
          <w:i/>
          <w:iCs/>
          <w:sz w:val="22"/>
          <w:szCs w:val="22"/>
        </w:rPr>
        <w:t xml:space="preserve"> degli impegni è effettuata incrementando, di pari importo, il fondo pluriennale di spesa, al fine di consentire, nell'entrata degli esercizi successivi, l'iscrizione del fondo pluriennale vincolato a copertura delle spese </w:t>
      </w:r>
      <w:proofErr w:type="spellStart"/>
      <w:r w:rsidRPr="00790481">
        <w:rPr>
          <w:rFonts w:ascii="Arial" w:hAnsi="Arial" w:cs="Arial"/>
          <w:i/>
          <w:iCs/>
          <w:sz w:val="22"/>
          <w:szCs w:val="22"/>
        </w:rPr>
        <w:t>reimputate</w:t>
      </w:r>
      <w:proofErr w:type="spellEnd"/>
      <w:r w:rsidRPr="00790481">
        <w:rPr>
          <w:rFonts w:ascii="Arial" w:hAnsi="Arial" w:cs="Arial"/>
          <w:i/>
          <w:iCs/>
          <w:sz w:val="22"/>
          <w:szCs w:val="22"/>
        </w:rPr>
        <w:t xml:space="preserve">. La costituzione del fondo pluriennale vincolato non è effettuata in caso di </w:t>
      </w:r>
      <w:proofErr w:type="spellStart"/>
      <w:r w:rsidRPr="00790481">
        <w:rPr>
          <w:rFonts w:ascii="Arial" w:hAnsi="Arial" w:cs="Arial"/>
          <w:i/>
          <w:iCs/>
          <w:sz w:val="22"/>
          <w:szCs w:val="22"/>
        </w:rPr>
        <w:t>reimputazione</w:t>
      </w:r>
      <w:proofErr w:type="spellEnd"/>
      <w:r w:rsidRPr="00790481">
        <w:rPr>
          <w:rFonts w:ascii="Arial" w:hAnsi="Arial" w:cs="Arial"/>
          <w:i/>
          <w:iCs/>
          <w:sz w:val="22"/>
          <w:szCs w:val="22"/>
        </w:rPr>
        <w:t xml:space="preserve"> contestuale di entrate e di spese. Le variazioni agli stanziamenti del fondo pluriennale vincolato e agli stanziamenti correlati, dell'esercizio in corso e dell'esercizio precedente, necessarie alla </w:t>
      </w:r>
      <w:proofErr w:type="spellStart"/>
      <w:r w:rsidRPr="00790481">
        <w:rPr>
          <w:rFonts w:ascii="Arial" w:hAnsi="Arial" w:cs="Arial"/>
          <w:i/>
          <w:iCs/>
          <w:sz w:val="22"/>
          <w:szCs w:val="22"/>
        </w:rPr>
        <w:t>reimputazione</w:t>
      </w:r>
      <w:proofErr w:type="spellEnd"/>
      <w:r w:rsidRPr="00790481">
        <w:rPr>
          <w:rFonts w:ascii="Arial" w:hAnsi="Arial" w:cs="Arial"/>
          <w:i/>
          <w:iCs/>
          <w:sz w:val="22"/>
          <w:szCs w:val="22"/>
        </w:rPr>
        <w:t xml:space="preserve"> delle entrate e delle spese riaccertate, sono effettuate con provvedimento amministrativo della giunta entro i termini previsti per l'approvazione del rendiconto dell'esercizio precedente. Il </w:t>
      </w:r>
      <w:proofErr w:type="spellStart"/>
      <w:r w:rsidRPr="00790481">
        <w:rPr>
          <w:rFonts w:ascii="Arial" w:hAnsi="Arial" w:cs="Arial"/>
          <w:i/>
          <w:iCs/>
          <w:sz w:val="22"/>
          <w:szCs w:val="22"/>
        </w:rPr>
        <w:t>riaccertamento</w:t>
      </w:r>
      <w:proofErr w:type="spellEnd"/>
      <w:r w:rsidRPr="00790481">
        <w:rPr>
          <w:rFonts w:ascii="Arial" w:hAnsi="Arial" w:cs="Arial"/>
          <w:i/>
          <w:iCs/>
          <w:sz w:val="22"/>
          <w:szCs w:val="22"/>
        </w:rPr>
        <w:t xml:space="preserve"> ordinario dei residui è effettuato anche nel corso dell'esercizio provvisorio o della gestione provvisoria. Al termine delle procedure di </w:t>
      </w:r>
      <w:proofErr w:type="spellStart"/>
      <w:r w:rsidRPr="00790481">
        <w:rPr>
          <w:rFonts w:ascii="Arial" w:hAnsi="Arial" w:cs="Arial"/>
          <w:i/>
          <w:iCs/>
          <w:sz w:val="22"/>
          <w:szCs w:val="22"/>
        </w:rPr>
        <w:t>riaccertamento</w:t>
      </w:r>
      <w:proofErr w:type="spellEnd"/>
      <w:r w:rsidRPr="00790481">
        <w:rPr>
          <w:rFonts w:ascii="Arial" w:hAnsi="Arial" w:cs="Arial"/>
          <w:i/>
          <w:iCs/>
          <w:sz w:val="22"/>
          <w:szCs w:val="22"/>
        </w:rPr>
        <w:t xml:space="preserve"> non sono conservati residui cui non corrispondono obbligazioni giuridicamente perfezionate”</w:t>
      </w:r>
      <w:r w:rsidRPr="00790481">
        <w:rPr>
          <w:rFonts w:ascii="Arial" w:hAnsi="Arial" w:cs="Arial"/>
          <w:sz w:val="22"/>
          <w:szCs w:val="22"/>
        </w:rPr>
        <w:t xml:space="preserve">; </w:t>
      </w:r>
    </w:p>
    <w:p w:rsidR="008521B1" w:rsidRPr="0079048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8521B1" w:rsidRPr="00E8403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84031">
        <w:rPr>
          <w:rFonts w:ascii="Arial" w:hAnsi="Arial" w:cs="Arial"/>
          <w:b/>
          <w:caps/>
          <w:sz w:val="22"/>
          <w:szCs w:val="22"/>
        </w:rPr>
        <w:t>RichiamatI</w:t>
      </w:r>
      <w:r w:rsidRPr="00E84031">
        <w:rPr>
          <w:rFonts w:ascii="Arial" w:hAnsi="Arial" w:cs="Arial"/>
          <w:sz w:val="22"/>
          <w:szCs w:val="22"/>
        </w:rPr>
        <w:t xml:space="preserve"> altresì:</w:t>
      </w:r>
    </w:p>
    <w:p w:rsidR="008521B1" w:rsidRPr="00E84031" w:rsidRDefault="008521B1" w:rsidP="008521B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E84031">
        <w:rPr>
          <w:rFonts w:ascii="Arial" w:hAnsi="Arial" w:cs="Arial"/>
          <w:szCs w:val="22"/>
        </w:rPr>
        <w:t>il</w:t>
      </w:r>
      <w:proofErr w:type="gramEnd"/>
      <w:r w:rsidRPr="00E84031">
        <w:rPr>
          <w:rFonts w:ascii="Arial" w:hAnsi="Arial" w:cs="Arial"/>
          <w:szCs w:val="22"/>
        </w:rPr>
        <w:t xml:space="preserve"> principio contabile applicato concernente la contabilità finanziaria (</w:t>
      </w:r>
      <w:proofErr w:type="spellStart"/>
      <w:r w:rsidRPr="00E84031">
        <w:rPr>
          <w:rFonts w:ascii="Arial" w:hAnsi="Arial" w:cs="Arial"/>
          <w:szCs w:val="22"/>
        </w:rPr>
        <w:t>all</w:t>
      </w:r>
      <w:proofErr w:type="spellEnd"/>
      <w:r w:rsidRPr="00E84031">
        <w:rPr>
          <w:rFonts w:ascii="Arial" w:hAnsi="Arial" w:cs="Arial"/>
          <w:szCs w:val="22"/>
        </w:rPr>
        <w:t xml:space="preserve">. n. 2 al DPCM 28/12/2011), nella versione aggiornata risultante dal sito </w:t>
      </w:r>
      <w:proofErr w:type="spellStart"/>
      <w:r w:rsidRPr="00E84031">
        <w:rPr>
          <w:rFonts w:ascii="Arial" w:hAnsi="Arial" w:cs="Arial"/>
          <w:szCs w:val="22"/>
        </w:rPr>
        <w:t>Arconet</w:t>
      </w:r>
      <w:proofErr w:type="spellEnd"/>
      <w:r w:rsidRPr="00E84031">
        <w:rPr>
          <w:rFonts w:ascii="Arial" w:hAnsi="Arial" w:cs="Arial"/>
          <w:szCs w:val="22"/>
        </w:rPr>
        <w:t xml:space="preserve"> della Ragioneria Generale dello Stato, ed in particolare il punto 9.1 inerente il </w:t>
      </w:r>
      <w:proofErr w:type="spellStart"/>
      <w:r w:rsidRPr="00E84031">
        <w:rPr>
          <w:rFonts w:ascii="Arial" w:hAnsi="Arial" w:cs="Arial"/>
          <w:szCs w:val="22"/>
        </w:rPr>
        <w:t>riaccertamento</w:t>
      </w:r>
      <w:proofErr w:type="spellEnd"/>
      <w:r w:rsidRPr="00E84031">
        <w:rPr>
          <w:rFonts w:ascii="Arial" w:hAnsi="Arial" w:cs="Arial"/>
          <w:szCs w:val="22"/>
        </w:rPr>
        <w:t xml:space="preserve"> ordinario dei residui;</w:t>
      </w:r>
    </w:p>
    <w:p w:rsidR="008521B1" w:rsidRPr="00E84031" w:rsidRDefault="008521B1" w:rsidP="008521B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iCs/>
          <w:szCs w:val="22"/>
        </w:rPr>
      </w:pPr>
      <w:proofErr w:type="gramStart"/>
      <w:r w:rsidRPr="00E84031">
        <w:rPr>
          <w:rFonts w:ascii="Arial" w:hAnsi="Arial" w:cs="Arial"/>
          <w:szCs w:val="22"/>
        </w:rPr>
        <w:t>i</w:t>
      </w:r>
      <w:r w:rsidRPr="00E84031">
        <w:rPr>
          <w:rFonts w:ascii="Arial" w:hAnsi="Arial" w:cs="Arial"/>
          <w:iCs/>
          <w:szCs w:val="22"/>
        </w:rPr>
        <w:t>l</w:t>
      </w:r>
      <w:proofErr w:type="gramEnd"/>
      <w:r w:rsidRPr="00E84031">
        <w:rPr>
          <w:rFonts w:ascii="Arial" w:hAnsi="Arial" w:cs="Arial"/>
          <w:iCs/>
          <w:szCs w:val="22"/>
        </w:rPr>
        <w:t xml:space="preserve"> </w:t>
      </w:r>
      <w:hyperlink r:id="rId5" w:tgtFrame="_blank" w:history="1">
        <w:r w:rsidRPr="00E84031">
          <w:rPr>
            <w:rFonts w:ascii="Arial" w:hAnsi="Arial" w:cs="Arial"/>
            <w:iCs/>
            <w:szCs w:val="22"/>
          </w:rPr>
          <w:t>Decreto 25 luglio 2023</w:t>
        </w:r>
      </w:hyperlink>
      <w:r w:rsidRPr="00E84031">
        <w:rPr>
          <w:rFonts w:ascii="Arial" w:hAnsi="Arial" w:cs="Arial"/>
          <w:iCs/>
          <w:szCs w:val="22"/>
        </w:rPr>
        <w:t> del Ministero dell'economia e delle finanze di aggiornamento degli allegati al decreto legislativo 23 giugno 2011, n. 188, recante: «Disposizioni in materia di armonizzazione dei sistemi contabili e degli schemi di bilancio delle regioni, degli enti locali e dei loro organismi, a norma degli articoli 1 e 2 della legge 5 maggio 2009, n. 42»;</w:t>
      </w:r>
    </w:p>
    <w:p w:rsidR="008521B1" w:rsidRPr="00E84031" w:rsidRDefault="008521B1" w:rsidP="008521B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E84031">
        <w:rPr>
          <w:rFonts w:ascii="Arial" w:hAnsi="Arial" w:cs="Arial"/>
          <w:szCs w:val="22"/>
        </w:rPr>
        <w:t>la</w:t>
      </w:r>
      <w:proofErr w:type="gramEnd"/>
      <w:r w:rsidRPr="00E84031">
        <w:rPr>
          <w:rFonts w:ascii="Arial" w:hAnsi="Arial" w:cs="Arial"/>
          <w:szCs w:val="22"/>
        </w:rPr>
        <w:t xml:space="preserve"> Circolare MEF n. 4 del 02/02/2024 recante le istruzioni da seguire per le operazioni di accertamento dei residui passivi di bilancio e dei residui passivi perenti in fase di chiusura delle scritture contabili del decorso esercizio finanziario 2023, ai fini della redazione del conto consuntivo e delle poste del conto del patrimonio relative ai residui passivi perenti;</w:t>
      </w:r>
    </w:p>
    <w:p w:rsidR="008521B1" w:rsidRPr="00671273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8521B1" w:rsidRPr="000D5766" w:rsidRDefault="008521B1" w:rsidP="008521B1">
      <w:pPr>
        <w:rPr>
          <w:rFonts w:ascii="Arial" w:hAnsi="Arial" w:cs="Arial"/>
          <w:iCs/>
          <w:sz w:val="22"/>
        </w:rPr>
      </w:pPr>
      <w:r w:rsidRPr="000D5766">
        <w:rPr>
          <w:rFonts w:ascii="Arial" w:hAnsi="Arial" w:cs="Arial"/>
          <w:b/>
          <w:iCs/>
          <w:sz w:val="22"/>
        </w:rPr>
        <w:t>TENUTO CONTO</w:t>
      </w:r>
      <w:r w:rsidRPr="000D5766">
        <w:rPr>
          <w:rFonts w:ascii="Arial" w:hAnsi="Arial" w:cs="Arial"/>
          <w:iCs/>
          <w:sz w:val="22"/>
        </w:rPr>
        <w:t xml:space="preserve"> delle indicazioni riportate nella deliberazione n. 144/2023/PAR della Corte dei conti Sezione di controllo per le Marche, che richiama le condizioni di cui al paragrafo 9.1 del principio allegato 4/2 al </w:t>
      </w:r>
      <w:proofErr w:type="spellStart"/>
      <w:r w:rsidRPr="000D5766">
        <w:rPr>
          <w:rFonts w:ascii="Arial" w:hAnsi="Arial" w:cs="Arial"/>
          <w:iCs/>
          <w:sz w:val="22"/>
        </w:rPr>
        <w:t>Dlgs</w:t>
      </w:r>
      <w:proofErr w:type="spellEnd"/>
      <w:r w:rsidRPr="000D5766">
        <w:rPr>
          <w:rFonts w:ascii="Arial" w:hAnsi="Arial" w:cs="Arial"/>
          <w:iCs/>
          <w:sz w:val="22"/>
        </w:rPr>
        <w:t xml:space="preserve"> 118/2011, e in particolare, per quanto concerne il </w:t>
      </w:r>
      <w:proofErr w:type="spellStart"/>
      <w:r w:rsidRPr="000D5766">
        <w:rPr>
          <w:rFonts w:ascii="Arial" w:hAnsi="Arial" w:cs="Arial"/>
          <w:iCs/>
          <w:sz w:val="22"/>
        </w:rPr>
        <w:t>riaccertamento</w:t>
      </w:r>
      <w:proofErr w:type="spellEnd"/>
      <w:r w:rsidRPr="000D5766">
        <w:rPr>
          <w:rFonts w:ascii="Arial" w:hAnsi="Arial" w:cs="Arial"/>
          <w:iCs/>
          <w:sz w:val="22"/>
        </w:rPr>
        <w:t xml:space="preserve"> dei residui attivi, in merito al riconoscimento formale dell’inesigibilità o dell’insussistenza per prescrizioni;</w:t>
      </w:r>
    </w:p>
    <w:p w:rsidR="008521B1" w:rsidRDefault="008521B1" w:rsidP="008521B1">
      <w:pPr>
        <w:rPr>
          <w:rFonts w:ascii="Arial" w:hAnsi="Arial" w:cs="Arial"/>
          <w:b/>
          <w:caps/>
          <w:sz w:val="22"/>
        </w:rPr>
      </w:pPr>
    </w:p>
    <w:p w:rsidR="008521B1" w:rsidRPr="00AA1349" w:rsidRDefault="008521B1" w:rsidP="008521B1">
      <w:pPr>
        <w:rPr>
          <w:rFonts w:ascii="Arial" w:hAnsi="Arial" w:cs="Arial"/>
          <w:sz w:val="22"/>
        </w:rPr>
      </w:pPr>
      <w:r w:rsidRPr="00AA1349">
        <w:rPr>
          <w:rFonts w:ascii="Arial" w:hAnsi="Arial" w:cs="Arial"/>
          <w:b/>
          <w:caps/>
          <w:sz w:val="22"/>
        </w:rPr>
        <w:t>Dato atto</w:t>
      </w:r>
      <w:r w:rsidRPr="00AA1349">
        <w:rPr>
          <w:rFonts w:ascii="Arial" w:hAnsi="Arial" w:cs="Arial"/>
          <w:sz w:val="22"/>
        </w:rPr>
        <w:t xml:space="preserve"> che, alla luce della normativa sopra richiamata, tramite Determina del Dirigente della Sezione Attività Finanziarie ed Economiche e Personale, in vista dell’approvazione del rendiconto di gestione, viene disposto il </w:t>
      </w:r>
      <w:proofErr w:type="spellStart"/>
      <w:r w:rsidRPr="00AA1349">
        <w:rPr>
          <w:rFonts w:ascii="Arial" w:hAnsi="Arial" w:cs="Arial"/>
          <w:sz w:val="22"/>
        </w:rPr>
        <w:t>riaccertamento</w:t>
      </w:r>
      <w:proofErr w:type="spellEnd"/>
      <w:r w:rsidRPr="00AA1349">
        <w:rPr>
          <w:rFonts w:ascii="Arial" w:hAnsi="Arial" w:cs="Arial"/>
          <w:sz w:val="22"/>
        </w:rPr>
        <w:t xml:space="preserve"> ordinario dei residui, attraverso il quale si procede alla cancellazione dei residui attivi e passivi non assistiti da obbligazioni giuridicamente perfezionate nonché alla </w:t>
      </w:r>
      <w:proofErr w:type="spellStart"/>
      <w:r w:rsidRPr="00AA1349">
        <w:rPr>
          <w:rFonts w:ascii="Arial" w:hAnsi="Arial" w:cs="Arial"/>
          <w:sz w:val="22"/>
        </w:rPr>
        <w:t>reimputazione</w:t>
      </w:r>
      <w:proofErr w:type="spellEnd"/>
      <w:r w:rsidRPr="00AA1349">
        <w:rPr>
          <w:rFonts w:ascii="Arial" w:hAnsi="Arial" w:cs="Arial"/>
          <w:sz w:val="22"/>
        </w:rPr>
        <w:t xml:space="preserve"> dei residui attivi e passivi le cui obbligazioni non sono esigibili alla data del 31 dicembre 2023;</w:t>
      </w:r>
    </w:p>
    <w:p w:rsidR="008521B1" w:rsidRPr="00AA1349" w:rsidRDefault="008521B1" w:rsidP="008521B1">
      <w:pPr>
        <w:rPr>
          <w:rFonts w:ascii="Arial" w:hAnsi="Arial" w:cs="Arial"/>
          <w:sz w:val="22"/>
        </w:rPr>
      </w:pPr>
    </w:p>
    <w:p w:rsidR="008521B1" w:rsidRPr="00790481" w:rsidRDefault="008521B1" w:rsidP="008521B1">
      <w:pPr>
        <w:rPr>
          <w:rFonts w:ascii="Arial" w:hAnsi="Arial" w:cs="Arial"/>
          <w:iCs/>
          <w:sz w:val="22"/>
        </w:rPr>
      </w:pPr>
      <w:r w:rsidRPr="00AA1349">
        <w:rPr>
          <w:rFonts w:ascii="Arial" w:hAnsi="Arial" w:cs="Arial"/>
          <w:b/>
          <w:iCs/>
          <w:sz w:val="22"/>
        </w:rPr>
        <w:t xml:space="preserve">TENUTO CONTO </w:t>
      </w:r>
      <w:r w:rsidRPr="00AA1349">
        <w:rPr>
          <w:rFonts w:ascii="Arial" w:hAnsi="Arial" w:cs="Arial"/>
          <w:iCs/>
          <w:sz w:val="22"/>
        </w:rPr>
        <w:t xml:space="preserve">che la </w:t>
      </w:r>
      <w:proofErr w:type="spellStart"/>
      <w:r w:rsidRPr="00AA1349">
        <w:rPr>
          <w:rFonts w:ascii="Arial" w:hAnsi="Arial" w:cs="Arial"/>
          <w:iCs/>
          <w:sz w:val="22"/>
        </w:rPr>
        <w:t>reimputazione</w:t>
      </w:r>
      <w:proofErr w:type="spellEnd"/>
      <w:r w:rsidRPr="00AA1349">
        <w:rPr>
          <w:rFonts w:ascii="Arial" w:hAnsi="Arial" w:cs="Arial"/>
          <w:iCs/>
          <w:sz w:val="22"/>
        </w:rPr>
        <w:t xml:space="preserve"> dei residui all’esercizio in cui le relative obbligazioni sono</w:t>
      </w:r>
      <w:r w:rsidRPr="00790481">
        <w:rPr>
          <w:rFonts w:ascii="Arial" w:hAnsi="Arial" w:cs="Arial"/>
          <w:iCs/>
          <w:sz w:val="22"/>
        </w:rPr>
        <w:t xml:space="preserve"> esigibili comporta:</w:t>
      </w:r>
    </w:p>
    <w:p w:rsidR="008521B1" w:rsidRPr="00790481" w:rsidRDefault="008521B1" w:rsidP="008521B1">
      <w:pPr>
        <w:rPr>
          <w:rFonts w:ascii="Arial" w:hAnsi="Arial" w:cs="Arial"/>
          <w:iCs/>
          <w:sz w:val="22"/>
        </w:rPr>
      </w:pPr>
      <w:r w:rsidRPr="00790481">
        <w:rPr>
          <w:rFonts w:ascii="Arial" w:hAnsi="Arial" w:cs="Arial"/>
          <w:iCs/>
          <w:sz w:val="22"/>
        </w:rPr>
        <w:t>a) la variazione al bilancio dell’esercizio su cui l’impegno o l’accertamento era imputato;</w:t>
      </w:r>
    </w:p>
    <w:p w:rsidR="008521B1" w:rsidRPr="00790481" w:rsidRDefault="008521B1" w:rsidP="008521B1">
      <w:pPr>
        <w:rPr>
          <w:rFonts w:ascii="Arial" w:hAnsi="Arial" w:cs="Arial"/>
          <w:iCs/>
          <w:sz w:val="22"/>
        </w:rPr>
      </w:pPr>
      <w:r w:rsidRPr="00790481">
        <w:rPr>
          <w:rFonts w:ascii="Arial" w:hAnsi="Arial" w:cs="Arial"/>
          <w:iCs/>
          <w:sz w:val="22"/>
        </w:rPr>
        <w:t>b) la variazione al bilancio di previsione degli esercizi su cui vengono trasferiti gli impegni e gli accertamenti in funzione della scadenza. Trattandosi di un'attività di natura gestionale, la variazione può essere effettuata anche nel corso dell’esercizio provvisorio, entro i termini previsti per l'approvazione del rendiconto;</w:t>
      </w:r>
    </w:p>
    <w:p w:rsidR="008521B1" w:rsidRPr="00790481" w:rsidRDefault="008521B1" w:rsidP="008521B1">
      <w:pPr>
        <w:rPr>
          <w:rFonts w:ascii="Arial" w:hAnsi="Arial" w:cs="Arial"/>
          <w:iCs/>
          <w:sz w:val="22"/>
        </w:rPr>
      </w:pPr>
      <w:r w:rsidRPr="00790481">
        <w:rPr>
          <w:rFonts w:ascii="Arial" w:hAnsi="Arial" w:cs="Arial"/>
          <w:iCs/>
          <w:sz w:val="22"/>
        </w:rPr>
        <w:t xml:space="preserve"> c) il trasferimento delle relative risorse a copertura degli impegni, mediante la costituzione del fondo pluriennale vincolato. Il fondo pluriennale vincolato è escluso unicamente in caso di contestuale </w:t>
      </w:r>
      <w:proofErr w:type="spellStart"/>
      <w:r w:rsidRPr="00790481">
        <w:rPr>
          <w:rFonts w:ascii="Arial" w:hAnsi="Arial" w:cs="Arial"/>
          <w:iCs/>
          <w:sz w:val="22"/>
        </w:rPr>
        <w:t>reimputazione</w:t>
      </w:r>
      <w:proofErr w:type="spellEnd"/>
      <w:r w:rsidRPr="00790481">
        <w:rPr>
          <w:rFonts w:ascii="Arial" w:hAnsi="Arial" w:cs="Arial"/>
          <w:iCs/>
          <w:sz w:val="22"/>
        </w:rPr>
        <w:t xml:space="preserve"> di entrate e spese correlate;</w:t>
      </w:r>
    </w:p>
    <w:p w:rsidR="008521B1" w:rsidRDefault="008521B1" w:rsidP="008521B1">
      <w:pPr>
        <w:suppressAutoHyphens/>
        <w:rPr>
          <w:rFonts w:ascii="Arial" w:hAnsi="Arial" w:cs="Arial"/>
          <w:b/>
          <w:bCs/>
          <w:caps/>
          <w:sz w:val="22"/>
        </w:rPr>
      </w:pPr>
    </w:p>
    <w:p w:rsidR="008521B1" w:rsidRPr="00790481" w:rsidRDefault="008521B1" w:rsidP="008521B1">
      <w:pPr>
        <w:suppressAutoHyphens/>
        <w:rPr>
          <w:rFonts w:ascii="Arial" w:hAnsi="Arial" w:cs="Arial"/>
          <w:bCs/>
          <w:sz w:val="22"/>
        </w:rPr>
      </w:pPr>
      <w:r w:rsidRPr="00790481">
        <w:rPr>
          <w:rFonts w:ascii="Arial" w:hAnsi="Arial" w:cs="Arial"/>
          <w:b/>
          <w:bCs/>
          <w:caps/>
          <w:sz w:val="22"/>
        </w:rPr>
        <w:t>RICHIAMATE</w:t>
      </w:r>
      <w:r w:rsidRPr="00790481">
        <w:rPr>
          <w:rFonts w:ascii="Arial" w:hAnsi="Arial" w:cs="Arial"/>
          <w:bCs/>
          <w:caps/>
          <w:sz w:val="22"/>
        </w:rPr>
        <w:t xml:space="preserve"> </w:t>
      </w:r>
      <w:r w:rsidRPr="00790481">
        <w:rPr>
          <w:rFonts w:ascii="Arial" w:hAnsi="Arial" w:cs="Arial"/>
          <w:bCs/>
          <w:sz w:val="22"/>
        </w:rPr>
        <w:t>altresì le disposizioni di cui agli artt. 28 – 34 della L.R. n. 3 del 25.03.2002;</w:t>
      </w:r>
    </w:p>
    <w:p w:rsidR="008521B1" w:rsidRPr="00790481" w:rsidRDefault="008521B1" w:rsidP="008521B1">
      <w:pPr>
        <w:suppressAutoHyphens/>
        <w:rPr>
          <w:rFonts w:ascii="Arial" w:hAnsi="Arial" w:cs="Arial"/>
          <w:bCs/>
          <w:sz w:val="22"/>
        </w:rPr>
      </w:pPr>
    </w:p>
    <w:p w:rsidR="008521B1" w:rsidRPr="00790481" w:rsidRDefault="008521B1" w:rsidP="008521B1">
      <w:pPr>
        <w:rPr>
          <w:rFonts w:ascii="Arial" w:hAnsi="Arial" w:cs="Arial"/>
          <w:sz w:val="22"/>
        </w:rPr>
      </w:pPr>
      <w:r w:rsidRPr="00790481">
        <w:rPr>
          <w:rFonts w:ascii="Arial" w:hAnsi="Arial" w:cs="Arial"/>
          <w:b/>
          <w:bCs/>
          <w:caps/>
          <w:sz w:val="22"/>
        </w:rPr>
        <w:t>Rilevato che</w:t>
      </w:r>
      <w:r w:rsidRPr="00790481">
        <w:rPr>
          <w:rFonts w:ascii="Arial" w:hAnsi="Arial" w:cs="Arial"/>
          <w:b/>
          <w:bCs/>
          <w:sz w:val="22"/>
        </w:rPr>
        <w:t xml:space="preserve"> </w:t>
      </w:r>
      <w:r w:rsidRPr="00790481">
        <w:rPr>
          <w:rFonts w:ascii="Arial" w:hAnsi="Arial" w:cs="Arial"/>
          <w:sz w:val="22"/>
        </w:rPr>
        <w:t>nell’ambito delle operazioni propedeutiche alla formazione de</w:t>
      </w:r>
      <w:r>
        <w:rPr>
          <w:rFonts w:ascii="Arial" w:hAnsi="Arial" w:cs="Arial"/>
          <w:sz w:val="22"/>
        </w:rPr>
        <w:t>l rendiconto dell’esercizio 2023</w:t>
      </w:r>
      <w:r w:rsidRPr="00790481">
        <w:rPr>
          <w:rFonts w:ascii="Arial" w:hAnsi="Arial" w:cs="Arial"/>
          <w:sz w:val="22"/>
        </w:rPr>
        <w:t>, l’Ufficio Attività Finanziarie ed Economiche ha proceduto, consultandosi con i Responsabili dei diversi Servizi, ad un’approfondita verifica, da cui è emersa la necessità di provvedere:</w:t>
      </w:r>
    </w:p>
    <w:p w:rsidR="008521B1" w:rsidRPr="00206FC1" w:rsidRDefault="008521B1" w:rsidP="008521B1">
      <w:pPr>
        <w:rPr>
          <w:rFonts w:ascii="Arial" w:hAnsi="Arial" w:cs="Arial"/>
          <w:sz w:val="22"/>
        </w:rPr>
      </w:pPr>
      <w:r w:rsidRPr="00790481">
        <w:rPr>
          <w:rFonts w:ascii="Arial" w:hAnsi="Arial" w:cs="Arial"/>
          <w:sz w:val="22"/>
        </w:rPr>
        <w:t xml:space="preserve">- alla cancellazione definitiva di residui attivi e passivi che generano minori entrate ed economie di spesa che confluiscono nella determinazione </w:t>
      </w:r>
      <w:r w:rsidRPr="00206FC1">
        <w:rPr>
          <w:rFonts w:ascii="Arial" w:hAnsi="Arial" w:cs="Arial"/>
          <w:sz w:val="22"/>
        </w:rPr>
        <w:t xml:space="preserve">del risultato di amministrazione </w:t>
      </w:r>
    </w:p>
    <w:p w:rsidR="008521B1" w:rsidRPr="00790481" w:rsidRDefault="008521B1" w:rsidP="008521B1">
      <w:pPr>
        <w:rPr>
          <w:rFonts w:ascii="Arial" w:hAnsi="Arial" w:cs="Arial"/>
          <w:sz w:val="22"/>
        </w:rPr>
      </w:pPr>
      <w:r w:rsidRPr="00206FC1">
        <w:rPr>
          <w:rFonts w:ascii="Arial" w:hAnsi="Arial" w:cs="Arial"/>
          <w:sz w:val="22"/>
        </w:rPr>
        <w:t xml:space="preserve">- alla cancellazione di residui attivi e passivi ed alla loro </w:t>
      </w:r>
      <w:proofErr w:type="spellStart"/>
      <w:r w:rsidRPr="00206FC1">
        <w:rPr>
          <w:rFonts w:ascii="Arial" w:hAnsi="Arial" w:cs="Arial"/>
          <w:sz w:val="22"/>
        </w:rPr>
        <w:t>reimpu</w:t>
      </w:r>
      <w:r>
        <w:rPr>
          <w:rFonts w:ascii="Arial" w:hAnsi="Arial" w:cs="Arial"/>
          <w:sz w:val="22"/>
        </w:rPr>
        <w:t>tazione</w:t>
      </w:r>
      <w:proofErr w:type="spellEnd"/>
      <w:r>
        <w:rPr>
          <w:rFonts w:ascii="Arial" w:hAnsi="Arial" w:cs="Arial"/>
          <w:sz w:val="22"/>
        </w:rPr>
        <w:t xml:space="preserve"> all’esercizio 2024</w:t>
      </w:r>
      <w:r w:rsidRPr="00206FC1">
        <w:rPr>
          <w:rFonts w:ascii="Arial" w:hAnsi="Arial" w:cs="Arial"/>
          <w:sz w:val="22"/>
        </w:rPr>
        <w:t xml:space="preserve"> in quanto obbliga</w:t>
      </w:r>
      <w:r w:rsidRPr="00790481">
        <w:rPr>
          <w:rFonts w:ascii="Arial" w:hAnsi="Arial" w:cs="Arial"/>
          <w:sz w:val="22"/>
        </w:rPr>
        <w:t>zioni giuridiche perfezionat</w:t>
      </w:r>
      <w:r>
        <w:rPr>
          <w:rFonts w:ascii="Arial" w:hAnsi="Arial" w:cs="Arial"/>
          <w:sz w:val="22"/>
        </w:rPr>
        <w:t>e ma non esigibili al 31/12/2023</w:t>
      </w:r>
      <w:r w:rsidRPr="00790481">
        <w:rPr>
          <w:rFonts w:ascii="Arial" w:hAnsi="Arial" w:cs="Arial"/>
          <w:sz w:val="22"/>
        </w:rPr>
        <w:t>;</w:t>
      </w:r>
    </w:p>
    <w:p w:rsidR="008521B1" w:rsidRPr="00790481" w:rsidRDefault="008521B1" w:rsidP="008521B1">
      <w:pPr>
        <w:suppressAutoHyphens/>
        <w:rPr>
          <w:rFonts w:ascii="Arial" w:hAnsi="Arial" w:cs="Arial"/>
          <w:bCs/>
          <w:sz w:val="22"/>
        </w:rPr>
      </w:pPr>
    </w:p>
    <w:p w:rsidR="008521B1" w:rsidRPr="00790481" w:rsidRDefault="008521B1" w:rsidP="008521B1">
      <w:pPr>
        <w:suppressAutoHyphens/>
        <w:rPr>
          <w:rFonts w:ascii="Arial" w:hAnsi="Arial" w:cs="Arial"/>
          <w:sz w:val="22"/>
        </w:rPr>
      </w:pPr>
      <w:r w:rsidRPr="00790481">
        <w:rPr>
          <w:rFonts w:ascii="Arial" w:hAnsi="Arial" w:cs="Arial"/>
          <w:b/>
          <w:bCs/>
          <w:sz w:val="22"/>
        </w:rPr>
        <w:t>EVIDENZIATO</w:t>
      </w:r>
      <w:r w:rsidRPr="00790481">
        <w:rPr>
          <w:rFonts w:ascii="Arial" w:hAnsi="Arial" w:cs="Arial"/>
          <w:bCs/>
          <w:sz w:val="22"/>
        </w:rPr>
        <w:t xml:space="preserve"> </w:t>
      </w:r>
      <w:r w:rsidRPr="00790481">
        <w:rPr>
          <w:rFonts w:ascii="Arial" w:hAnsi="Arial" w:cs="Arial"/>
          <w:sz w:val="22"/>
        </w:rPr>
        <w:t>che sulla base della documentazione predisposta sono stati redatti:</w:t>
      </w:r>
    </w:p>
    <w:p w:rsidR="008521B1" w:rsidRPr="00790481" w:rsidRDefault="008521B1" w:rsidP="008521B1">
      <w:pPr>
        <w:suppressAutoHyphens/>
        <w:rPr>
          <w:rFonts w:ascii="Arial" w:hAnsi="Arial" w:cs="Arial"/>
          <w:sz w:val="22"/>
        </w:rPr>
      </w:pPr>
      <w:r w:rsidRPr="00790481">
        <w:rPr>
          <w:rFonts w:ascii="Arial" w:hAnsi="Arial" w:cs="Arial"/>
          <w:sz w:val="22"/>
        </w:rPr>
        <w:t xml:space="preserve">- elenco dei residui attivi e passivi da mantenere nel </w:t>
      </w:r>
      <w:r>
        <w:rPr>
          <w:rFonts w:ascii="Arial" w:hAnsi="Arial" w:cs="Arial"/>
          <w:sz w:val="22"/>
        </w:rPr>
        <w:t>conto del bilancio 2023 (Allegato 1</w:t>
      </w:r>
      <w:r w:rsidRPr="00790481">
        <w:rPr>
          <w:rFonts w:ascii="Arial" w:hAnsi="Arial" w:cs="Arial"/>
          <w:sz w:val="22"/>
        </w:rPr>
        <w:t>)</w:t>
      </w:r>
    </w:p>
    <w:p w:rsidR="008521B1" w:rsidRPr="004F1097" w:rsidRDefault="008521B1" w:rsidP="008521B1">
      <w:pPr>
        <w:suppressAutoHyphens/>
        <w:rPr>
          <w:rFonts w:ascii="Arial" w:hAnsi="Arial" w:cs="Arial"/>
          <w:sz w:val="22"/>
        </w:rPr>
      </w:pPr>
      <w:r w:rsidRPr="004F1097">
        <w:rPr>
          <w:rFonts w:ascii="Arial" w:hAnsi="Arial" w:cs="Arial"/>
          <w:sz w:val="22"/>
        </w:rPr>
        <w:t>- elenco dei residui attivi e passivi eliminati (Allegato 2)</w:t>
      </w:r>
    </w:p>
    <w:p w:rsidR="008521B1" w:rsidRPr="00790481" w:rsidRDefault="008521B1" w:rsidP="008521B1">
      <w:pPr>
        <w:suppressAutoHyphens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F80EA9">
        <w:rPr>
          <w:rFonts w:ascii="Arial" w:hAnsi="Arial" w:cs="Arial"/>
          <w:sz w:val="22"/>
        </w:rPr>
        <w:t xml:space="preserve">maggiori residui attivi riaccertati (Allegato </w:t>
      </w:r>
      <w:r>
        <w:rPr>
          <w:rFonts w:ascii="Arial" w:hAnsi="Arial" w:cs="Arial"/>
          <w:sz w:val="22"/>
        </w:rPr>
        <w:t>3</w:t>
      </w:r>
      <w:r w:rsidRPr="00F80EA9">
        <w:rPr>
          <w:rFonts w:ascii="Arial" w:hAnsi="Arial" w:cs="Arial"/>
          <w:sz w:val="22"/>
        </w:rPr>
        <w:t>)</w:t>
      </w:r>
    </w:p>
    <w:p w:rsidR="008521B1" w:rsidRPr="00790481" w:rsidRDefault="008521B1" w:rsidP="008521B1">
      <w:pPr>
        <w:suppressAutoHyphens/>
        <w:rPr>
          <w:rFonts w:ascii="Arial" w:hAnsi="Arial" w:cs="Arial"/>
          <w:sz w:val="22"/>
        </w:rPr>
      </w:pPr>
      <w:r w:rsidRPr="00790481">
        <w:rPr>
          <w:rFonts w:ascii="Arial" w:hAnsi="Arial" w:cs="Arial"/>
          <w:sz w:val="22"/>
        </w:rPr>
        <w:t>- totale pagam</w:t>
      </w:r>
      <w:r>
        <w:rPr>
          <w:rFonts w:ascii="Arial" w:hAnsi="Arial" w:cs="Arial"/>
          <w:sz w:val="22"/>
        </w:rPr>
        <w:t>enti e riscossioni al 31.12.2023</w:t>
      </w:r>
      <w:r w:rsidRPr="00790481">
        <w:rPr>
          <w:rFonts w:ascii="Arial" w:hAnsi="Arial" w:cs="Arial"/>
          <w:sz w:val="22"/>
        </w:rPr>
        <w:t xml:space="preserve"> giornale di cassa (Allegato </w:t>
      </w:r>
      <w:r>
        <w:rPr>
          <w:rFonts w:ascii="Arial" w:hAnsi="Arial" w:cs="Arial"/>
          <w:sz w:val="22"/>
        </w:rPr>
        <w:t>4)</w:t>
      </w:r>
      <w:r w:rsidRPr="00790481">
        <w:rPr>
          <w:rFonts w:ascii="Arial" w:hAnsi="Arial" w:cs="Arial"/>
          <w:sz w:val="22"/>
        </w:rPr>
        <w:t xml:space="preserve"> </w:t>
      </w:r>
    </w:p>
    <w:p w:rsidR="008521B1" w:rsidRDefault="008521B1" w:rsidP="008521B1">
      <w:pPr>
        <w:suppressAutoHyphens/>
        <w:rPr>
          <w:rFonts w:ascii="Arial" w:hAnsi="Arial" w:cs="Arial"/>
          <w:sz w:val="22"/>
        </w:rPr>
      </w:pPr>
      <w:r w:rsidRPr="00790481">
        <w:rPr>
          <w:rFonts w:ascii="Arial" w:hAnsi="Arial" w:cs="Arial"/>
          <w:sz w:val="22"/>
        </w:rPr>
        <w:t xml:space="preserve">- determinazione del FPV (Allegato </w:t>
      </w:r>
      <w:r>
        <w:rPr>
          <w:rFonts w:ascii="Arial" w:hAnsi="Arial" w:cs="Arial"/>
          <w:sz w:val="22"/>
        </w:rPr>
        <w:t xml:space="preserve">5) dettagliati nell’allegata relazione di </w:t>
      </w:r>
      <w:proofErr w:type="spellStart"/>
      <w:r>
        <w:rPr>
          <w:rFonts w:ascii="Arial" w:hAnsi="Arial" w:cs="Arial"/>
          <w:sz w:val="22"/>
        </w:rPr>
        <w:t>riaccertamento</w:t>
      </w:r>
      <w:proofErr w:type="spellEnd"/>
      <w:r>
        <w:rPr>
          <w:rFonts w:ascii="Arial" w:hAnsi="Arial" w:cs="Arial"/>
          <w:sz w:val="22"/>
        </w:rPr>
        <w:t xml:space="preserve"> dei residui attivi e passivi al 31.12.2023.</w:t>
      </w:r>
      <w:r w:rsidRPr="00790481">
        <w:rPr>
          <w:rFonts w:ascii="Arial" w:hAnsi="Arial" w:cs="Arial"/>
          <w:sz w:val="22"/>
        </w:rPr>
        <w:t xml:space="preserve"> </w:t>
      </w:r>
    </w:p>
    <w:p w:rsidR="008521B1" w:rsidRDefault="008521B1" w:rsidP="008521B1">
      <w:pPr>
        <w:suppressAutoHyphens/>
        <w:rPr>
          <w:rFonts w:ascii="Arial" w:hAnsi="Arial" w:cs="Arial"/>
          <w:sz w:val="22"/>
        </w:rPr>
      </w:pPr>
    </w:p>
    <w:p w:rsidR="008521B1" w:rsidRDefault="008521B1" w:rsidP="008521B1">
      <w:pPr>
        <w:suppressAutoHyphens/>
        <w:rPr>
          <w:rFonts w:ascii="Arial" w:hAnsi="Arial" w:cs="Arial"/>
          <w:sz w:val="22"/>
        </w:rPr>
      </w:pPr>
      <w:r w:rsidRPr="00EE11E0">
        <w:rPr>
          <w:rFonts w:ascii="Arial" w:hAnsi="Arial" w:cs="Arial"/>
          <w:b/>
          <w:sz w:val="22"/>
        </w:rPr>
        <w:t>CONSIDERATO</w:t>
      </w:r>
      <w:r>
        <w:rPr>
          <w:rFonts w:ascii="Arial" w:hAnsi="Arial" w:cs="Arial"/>
          <w:sz w:val="22"/>
        </w:rPr>
        <w:t xml:space="preserve"> che:</w:t>
      </w:r>
    </w:p>
    <w:p w:rsidR="008521B1" w:rsidRPr="00147170" w:rsidRDefault="008521B1" w:rsidP="008521B1">
      <w:pPr>
        <w:pStyle w:val="Paragrafoelenco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147170">
        <w:rPr>
          <w:rFonts w:ascii="Arial" w:hAnsi="Arial" w:cs="Arial"/>
          <w:szCs w:val="22"/>
        </w:rPr>
        <w:t>i</w:t>
      </w:r>
      <w:proofErr w:type="gramEnd"/>
      <w:r w:rsidRPr="00147170">
        <w:rPr>
          <w:rFonts w:ascii="Arial" w:hAnsi="Arial" w:cs="Arial"/>
          <w:szCs w:val="22"/>
        </w:rPr>
        <w:t xml:space="preserve"> residui attivi da mantenere ammontano </w:t>
      </w:r>
      <w:r w:rsidRPr="00B50304">
        <w:rPr>
          <w:rFonts w:ascii="Arial" w:hAnsi="Arial" w:cs="Arial"/>
          <w:szCs w:val="22"/>
        </w:rPr>
        <w:t xml:space="preserve">ad € </w:t>
      </w:r>
      <w:r>
        <w:rPr>
          <w:rFonts w:ascii="Arial" w:hAnsi="Arial" w:cs="Arial"/>
          <w:szCs w:val="22"/>
        </w:rPr>
        <w:t>15.417.733,22</w:t>
      </w:r>
      <w:r w:rsidRPr="00147170">
        <w:rPr>
          <w:rFonts w:ascii="Arial" w:hAnsi="Arial" w:cs="Arial"/>
          <w:szCs w:val="22"/>
        </w:rPr>
        <w:t xml:space="preserve"> e in questi sono ricompresi </w:t>
      </w:r>
      <w:r w:rsidRPr="00147170">
        <w:rPr>
          <w:rFonts w:ascii="Arial" w:hAnsi="Arial" w:cs="Arial"/>
          <w:szCs w:val="22"/>
        </w:rPr>
        <w:br/>
        <w:t xml:space="preserve">€ 2.325.044,70 </w:t>
      </w:r>
      <w:r w:rsidRPr="00B50304">
        <w:rPr>
          <w:rFonts w:ascii="Arial" w:hAnsi="Arial" w:cs="Arial"/>
          <w:i/>
          <w:szCs w:val="22"/>
        </w:rPr>
        <w:t>(€ 966.126,70 + € 1.358.918,00)</w:t>
      </w:r>
      <w:r w:rsidRPr="00B50304">
        <w:rPr>
          <w:rFonts w:ascii="Arial" w:hAnsi="Arial" w:cs="Arial"/>
          <w:szCs w:val="22"/>
        </w:rPr>
        <w:t xml:space="preserve"> </w:t>
      </w:r>
      <w:r w:rsidRPr="00147170">
        <w:rPr>
          <w:rFonts w:ascii="Arial" w:hAnsi="Arial" w:cs="Arial"/>
          <w:szCs w:val="22"/>
        </w:rPr>
        <w:t>che residuano dalla somma derivante dal piano nazionale per gli investimenti complementari (PNC);</w:t>
      </w:r>
    </w:p>
    <w:p w:rsidR="008521B1" w:rsidRPr="00147170" w:rsidRDefault="008521B1" w:rsidP="008521B1">
      <w:pPr>
        <w:pStyle w:val="Paragrafoelenco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szCs w:val="22"/>
        </w:rPr>
      </w:pPr>
      <w:proofErr w:type="gramStart"/>
      <w:r w:rsidRPr="00147170">
        <w:rPr>
          <w:rFonts w:ascii="Arial" w:hAnsi="Arial" w:cs="Arial"/>
          <w:szCs w:val="22"/>
        </w:rPr>
        <w:t>all’interno</w:t>
      </w:r>
      <w:proofErr w:type="gramEnd"/>
      <w:r w:rsidRPr="00147170">
        <w:rPr>
          <w:rFonts w:ascii="Arial" w:hAnsi="Arial" w:cs="Arial"/>
          <w:szCs w:val="22"/>
        </w:rPr>
        <w:t xml:space="preserve"> del PNC è stato previsto uno specifico piano di investimenti strettamente collegato al Piano Nazionale di Ripresa e Resilienza (PNRR), le cui azioni previste si riferiscono ad un “rafforzamento complessivo delle strutture e dei servizi di SNPS-SNPA” a livello nazionale, regionale e locale, per il miglioramento delle infrastrutture, capacità umane, tecnologiche e per la ricerca applicata;</w:t>
      </w:r>
    </w:p>
    <w:p w:rsidR="008521B1" w:rsidRDefault="008521B1" w:rsidP="008521B1">
      <w:pPr>
        <w:suppressAutoHyphens/>
        <w:rPr>
          <w:rFonts w:ascii="Arial" w:hAnsi="Arial" w:cs="Arial"/>
          <w:b/>
          <w:sz w:val="22"/>
        </w:rPr>
      </w:pPr>
    </w:p>
    <w:p w:rsidR="008521B1" w:rsidRDefault="008521B1" w:rsidP="008521B1">
      <w:pPr>
        <w:suppressAutoHyphens/>
        <w:rPr>
          <w:rFonts w:ascii="Arial" w:hAnsi="Arial" w:cs="Arial"/>
          <w:sz w:val="22"/>
        </w:rPr>
      </w:pPr>
      <w:r w:rsidRPr="003267A1">
        <w:rPr>
          <w:rFonts w:ascii="Arial" w:hAnsi="Arial" w:cs="Arial"/>
          <w:b/>
          <w:sz w:val="22"/>
        </w:rPr>
        <w:t>RICHIAMATO</w:t>
      </w:r>
      <w:r>
        <w:rPr>
          <w:rFonts w:ascii="Arial" w:hAnsi="Arial" w:cs="Arial"/>
          <w:sz w:val="22"/>
        </w:rPr>
        <w:t xml:space="preserve"> l’art 15 c. 4 del Decreto Legge 77/2021;</w:t>
      </w:r>
    </w:p>
    <w:p w:rsidR="008521B1" w:rsidRPr="0079048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8521B1" w:rsidRPr="00790481" w:rsidRDefault="008521B1" w:rsidP="008521B1">
      <w:pPr>
        <w:pStyle w:val="Corpodeltesto2"/>
        <w:keepLines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790481">
        <w:rPr>
          <w:rFonts w:ascii="Arial" w:hAnsi="Arial" w:cs="Arial"/>
          <w:bCs w:val="0"/>
          <w:sz w:val="22"/>
          <w:szCs w:val="22"/>
        </w:rPr>
        <w:t>DATO</w:t>
      </w:r>
      <w:r w:rsidRPr="0079048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790481">
        <w:rPr>
          <w:rFonts w:ascii="Arial" w:hAnsi="Arial" w:cs="Arial"/>
          <w:bCs w:val="0"/>
          <w:sz w:val="22"/>
          <w:szCs w:val="22"/>
        </w:rPr>
        <w:t>ATTO</w:t>
      </w:r>
      <w:r w:rsidRPr="00790481">
        <w:rPr>
          <w:rFonts w:ascii="Arial" w:hAnsi="Arial" w:cs="Arial"/>
          <w:b w:val="0"/>
          <w:sz w:val="22"/>
          <w:szCs w:val="22"/>
        </w:rPr>
        <w:t xml:space="preserve"> che il saldo del C/C postale (Allegato </w:t>
      </w:r>
      <w:r>
        <w:rPr>
          <w:rFonts w:ascii="Arial" w:hAnsi="Arial" w:cs="Arial"/>
          <w:b w:val="0"/>
          <w:sz w:val="22"/>
          <w:szCs w:val="22"/>
        </w:rPr>
        <w:t>6) al 31/12/2023</w:t>
      </w:r>
      <w:r w:rsidRPr="00790481">
        <w:rPr>
          <w:rFonts w:ascii="Arial" w:hAnsi="Arial" w:cs="Arial"/>
          <w:b w:val="0"/>
          <w:sz w:val="22"/>
          <w:szCs w:val="22"/>
        </w:rPr>
        <w:t xml:space="preserve"> ammonta ad </w:t>
      </w:r>
      <w:r w:rsidRPr="00790481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€ 243.981,61</w:t>
      </w:r>
      <w:r w:rsidRPr="00790481">
        <w:rPr>
          <w:rFonts w:ascii="Arial" w:hAnsi="Arial" w:cs="Arial"/>
          <w:b w:val="0"/>
          <w:sz w:val="22"/>
          <w:szCs w:val="22"/>
        </w:rPr>
        <w:t xml:space="preserve">  e trova allocazione nel bilancio finanziario tra i residui attivi in quanto trattasi di somme accertat</w:t>
      </w:r>
      <w:r>
        <w:rPr>
          <w:rFonts w:ascii="Arial" w:hAnsi="Arial" w:cs="Arial"/>
          <w:b w:val="0"/>
          <w:sz w:val="22"/>
          <w:szCs w:val="22"/>
        </w:rPr>
        <w:t>e ma non incassate al 31.12.2023</w:t>
      </w:r>
      <w:r w:rsidRPr="00790481">
        <w:rPr>
          <w:rFonts w:ascii="Arial" w:hAnsi="Arial" w:cs="Arial"/>
          <w:b w:val="0"/>
          <w:sz w:val="22"/>
          <w:szCs w:val="22"/>
        </w:rPr>
        <w:t xml:space="preserve"> presso la tesoreria dell’Agenzia;</w:t>
      </w:r>
    </w:p>
    <w:p w:rsidR="008521B1" w:rsidRPr="00790481" w:rsidRDefault="008521B1" w:rsidP="008521B1">
      <w:pPr>
        <w:pStyle w:val="Corpodeltesto2"/>
        <w:keepLines/>
        <w:suppressAutoHyphens/>
        <w:jc w:val="both"/>
        <w:rPr>
          <w:rFonts w:ascii="Arial" w:hAnsi="Arial" w:cs="Arial"/>
          <w:bCs w:val="0"/>
          <w:sz w:val="22"/>
          <w:szCs w:val="22"/>
        </w:rPr>
      </w:pPr>
    </w:p>
    <w:p w:rsidR="008521B1" w:rsidRPr="00790481" w:rsidRDefault="008521B1" w:rsidP="008521B1">
      <w:pPr>
        <w:pStyle w:val="Corpodeltesto2"/>
        <w:keepLines/>
        <w:suppressAutoHyphens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90481">
        <w:rPr>
          <w:rFonts w:ascii="Arial" w:hAnsi="Arial" w:cs="Arial"/>
          <w:bCs w:val="0"/>
          <w:sz w:val="22"/>
          <w:szCs w:val="22"/>
        </w:rPr>
        <w:t>CONSIDERATO</w:t>
      </w:r>
      <w:r w:rsidRPr="00790481">
        <w:rPr>
          <w:rFonts w:ascii="Arial" w:hAnsi="Arial" w:cs="Arial"/>
          <w:b w:val="0"/>
          <w:bCs w:val="0"/>
          <w:sz w:val="22"/>
          <w:szCs w:val="22"/>
        </w:rPr>
        <w:t xml:space="preserve"> che a seguito del riaccertamento dei residui attivi e passivi occorre rideterminare anche la consistenza della cassa;</w:t>
      </w:r>
      <w:r w:rsidRPr="00790481">
        <w:rPr>
          <w:rFonts w:ascii="Arial" w:hAnsi="Arial" w:cs="Arial"/>
          <w:b w:val="0"/>
          <w:bCs w:val="0"/>
          <w:color w:val="FF0000"/>
          <w:sz w:val="22"/>
          <w:szCs w:val="22"/>
        </w:rPr>
        <w:t xml:space="preserve"> </w:t>
      </w:r>
    </w:p>
    <w:p w:rsidR="008521B1" w:rsidRPr="00790481" w:rsidRDefault="008521B1" w:rsidP="008521B1">
      <w:pPr>
        <w:pStyle w:val="Corpodeltesto2"/>
        <w:keepLines/>
        <w:suppressAutoHyphens/>
        <w:jc w:val="right"/>
        <w:rPr>
          <w:rFonts w:ascii="Arial" w:hAnsi="Arial" w:cs="Arial"/>
          <w:b w:val="0"/>
          <w:bCs w:val="0"/>
          <w:sz w:val="22"/>
          <w:szCs w:val="22"/>
          <w:highlight w:val="green"/>
        </w:rPr>
      </w:pPr>
    </w:p>
    <w:p w:rsidR="008521B1" w:rsidRPr="00790481" w:rsidRDefault="008521B1" w:rsidP="008521B1">
      <w:pPr>
        <w:pStyle w:val="Corpodeltesto2"/>
        <w:keepLines/>
        <w:suppressAutoHyphens/>
        <w:jc w:val="both"/>
        <w:rPr>
          <w:rFonts w:ascii="Arial" w:hAnsi="Arial" w:cs="Arial"/>
          <w:bCs w:val="0"/>
          <w:color w:val="FF0000"/>
          <w:sz w:val="22"/>
          <w:szCs w:val="22"/>
        </w:rPr>
      </w:pPr>
      <w:r w:rsidRPr="00790481">
        <w:rPr>
          <w:rFonts w:ascii="Arial" w:hAnsi="Arial" w:cs="Arial"/>
          <w:sz w:val="22"/>
          <w:szCs w:val="22"/>
        </w:rPr>
        <w:t>ACCERTATO</w:t>
      </w:r>
      <w:r w:rsidRPr="00790481">
        <w:rPr>
          <w:rFonts w:ascii="Arial" w:hAnsi="Arial" w:cs="Arial"/>
          <w:b w:val="0"/>
          <w:sz w:val="22"/>
          <w:szCs w:val="22"/>
        </w:rPr>
        <w:t xml:space="preserve"> </w:t>
      </w:r>
      <w:r w:rsidRPr="00790481">
        <w:rPr>
          <w:rFonts w:ascii="Arial" w:hAnsi="Arial" w:cs="Arial"/>
          <w:b w:val="0"/>
          <w:bCs w:val="0"/>
          <w:sz w:val="22"/>
          <w:szCs w:val="22"/>
        </w:rPr>
        <w:t>che la consistenza della cas</w:t>
      </w:r>
      <w:r>
        <w:rPr>
          <w:rFonts w:ascii="Arial" w:hAnsi="Arial" w:cs="Arial"/>
          <w:b w:val="0"/>
          <w:bCs w:val="0"/>
          <w:sz w:val="22"/>
          <w:szCs w:val="22"/>
        </w:rPr>
        <w:t>sa alla fine dell’esercizio 2023</w:t>
      </w:r>
      <w:r w:rsidRPr="00790481">
        <w:rPr>
          <w:rFonts w:ascii="Arial" w:hAnsi="Arial" w:cs="Arial"/>
          <w:b w:val="0"/>
          <w:bCs w:val="0"/>
          <w:sz w:val="22"/>
          <w:szCs w:val="22"/>
        </w:rPr>
        <w:t xml:space="preserve">, così come risulta dai riscontri contabili con la Tesoreria dell’Agenzia – Banca Popolare di Bari (ex Caripe) S.p.A. – è pari </w:t>
      </w:r>
      <w:r w:rsidRPr="001E6E26">
        <w:rPr>
          <w:rFonts w:ascii="Arial" w:hAnsi="Arial" w:cs="Arial"/>
          <w:b w:val="0"/>
          <w:bCs w:val="0"/>
          <w:sz w:val="22"/>
          <w:szCs w:val="22"/>
        </w:rPr>
        <w:t xml:space="preserve">ad </w:t>
      </w:r>
      <w:r w:rsidRPr="00020501">
        <w:rPr>
          <w:rFonts w:ascii="Arial" w:hAnsi="Arial" w:cs="Arial"/>
          <w:b w:val="0"/>
          <w:bCs w:val="0"/>
          <w:sz w:val="22"/>
          <w:szCs w:val="22"/>
        </w:rPr>
        <w:t xml:space="preserve">€ </w:t>
      </w:r>
      <w:r w:rsidRPr="004607D7">
        <w:rPr>
          <w:rFonts w:ascii="Arial" w:hAnsi="Arial" w:cs="Arial"/>
          <w:b w:val="0"/>
          <w:bCs w:val="0"/>
          <w:sz w:val="22"/>
          <w:szCs w:val="22"/>
        </w:rPr>
        <w:t>14.299.401,04</w:t>
      </w:r>
      <w:r w:rsidRPr="00790481">
        <w:rPr>
          <w:rFonts w:ascii="Arial" w:hAnsi="Arial" w:cs="Arial"/>
          <w:b w:val="0"/>
          <w:bCs w:val="0"/>
          <w:sz w:val="22"/>
          <w:szCs w:val="22"/>
        </w:rPr>
        <w:t xml:space="preserve"> (Allegato 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790481">
        <w:rPr>
          <w:rFonts w:ascii="Arial" w:hAnsi="Arial" w:cs="Arial"/>
          <w:b w:val="0"/>
          <w:bCs w:val="0"/>
          <w:sz w:val="22"/>
          <w:szCs w:val="22"/>
        </w:rPr>
        <w:t>);</w:t>
      </w:r>
      <w:r w:rsidRPr="00790481">
        <w:rPr>
          <w:rFonts w:ascii="Arial" w:hAnsi="Arial" w:cs="Arial"/>
          <w:bCs w:val="0"/>
          <w:color w:val="FF0000"/>
          <w:sz w:val="22"/>
          <w:szCs w:val="22"/>
        </w:rPr>
        <w:t xml:space="preserve"> </w:t>
      </w:r>
    </w:p>
    <w:p w:rsidR="008521B1" w:rsidRPr="00790481" w:rsidRDefault="008521B1" w:rsidP="008521B1">
      <w:pPr>
        <w:pStyle w:val="Corpodeltesto2"/>
        <w:keepLines/>
        <w:suppressAutoHyphens/>
        <w:jc w:val="both"/>
        <w:rPr>
          <w:rFonts w:ascii="Arial" w:hAnsi="Arial" w:cs="Arial"/>
          <w:bCs w:val="0"/>
          <w:sz w:val="22"/>
          <w:szCs w:val="22"/>
        </w:rPr>
      </w:pPr>
    </w:p>
    <w:p w:rsidR="008521B1" w:rsidRPr="00790481" w:rsidRDefault="008521B1" w:rsidP="008521B1">
      <w:pPr>
        <w:keepLines/>
        <w:suppressAutoHyphens/>
        <w:rPr>
          <w:rFonts w:ascii="Arial" w:hAnsi="Arial" w:cs="Arial"/>
          <w:iCs/>
          <w:sz w:val="22"/>
        </w:rPr>
      </w:pPr>
      <w:r w:rsidRPr="004F1097">
        <w:rPr>
          <w:rFonts w:ascii="Arial" w:hAnsi="Arial" w:cs="Arial"/>
          <w:b/>
          <w:iCs/>
          <w:sz w:val="22"/>
        </w:rPr>
        <w:t>DATO ATTO</w:t>
      </w:r>
      <w:r w:rsidRPr="004F1097">
        <w:rPr>
          <w:rFonts w:ascii="Arial" w:hAnsi="Arial" w:cs="Arial"/>
          <w:iCs/>
          <w:sz w:val="22"/>
        </w:rPr>
        <w:t xml:space="preserve"> che il trasferimento delle relative risorse a copertura degli impegni, esclude la costituzione del Fondo Pluriennale Vincolato in quanto le risorse in entrata </w:t>
      </w:r>
      <w:proofErr w:type="spellStart"/>
      <w:r w:rsidRPr="004F1097">
        <w:rPr>
          <w:rFonts w:ascii="Arial" w:hAnsi="Arial" w:cs="Arial"/>
          <w:iCs/>
          <w:sz w:val="22"/>
        </w:rPr>
        <w:t>reimputate</w:t>
      </w:r>
      <w:proofErr w:type="spellEnd"/>
      <w:r w:rsidRPr="004F1097">
        <w:rPr>
          <w:rFonts w:ascii="Arial" w:hAnsi="Arial" w:cs="Arial"/>
          <w:iCs/>
          <w:sz w:val="22"/>
        </w:rPr>
        <w:t xml:space="preserve"> superano nell’ammontare quelle in uscita, come da schede di determinazione del FPV totale;</w:t>
      </w:r>
    </w:p>
    <w:p w:rsidR="008521B1" w:rsidRPr="00790481" w:rsidRDefault="008521B1" w:rsidP="008521B1">
      <w:pPr>
        <w:keepLines/>
        <w:suppressAutoHyphens/>
        <w:rPr>
          <w:rFonts w:ascii="Arial" w:hAnsi="Arial" w:cs="Arial"/>
          <w:iCs/>
          <w:sz w:val="22"/>
        </w:rPr>
      </w:pPr>
    </w:p>
    <w:p w:rsidR="008521B1" w:rsidRPr="00790481" w:rsidRDefault="008521B1" w:rsidP="008521B1">
      <w:pPr>
        <w:rPr>
          <w:rFonts w:ascii="Arial" w:hAnsi="Arial" w:cs="Arial"/>
          <w:sz w:val="22"/>
        </w:rPr>
      </w:pPr>
      <w:r w:rsidRPr="00790481">
        <w:rPr>
          <w:rFonts w:ascii="Arial" w:hAnsi="Arial" w:cs="Arial"/>
          <w:b/>
          <w:caps/>
          <w:sz w:val="22"/>
        </w:rPr>
        <w:t xml:space="preserve">DATO ATTO che, </w:t>
      </w:r>
      <w:r w:rsidRPr="00790481">
        <w:rPr>
          <w:rFonts w:ascii="Arial" w:hAnsi="Arial" w:cs="Arial"/>
          <w:sz w:val="22"/>
        </w:rPr>
        <w:t xml:space="preserve">a decorrere dal 1° luglio 2017, in adempimento dell’art. 1 del D.L. 24 aprile 2017, n. 50 (c.d. Manovra correttiva), intervenuto sulla formulazione dell’art. 17-ter del D.P.R. n. 633/1972, con il quale è stata estesa l’applicazione della scissione dei pagamenti (c.d. split </w:t>
      </w:r>
      <w:proofErr w:type="spellStart"/>
      <w:r w:rsidRPr="00790481">
        <w:rPr>
          <w:rFonts w:ascii="Arial" w:hAnsi="Arial" w:cs="Arial"/>
          <w:sz w:val="22"/>
        </w:rPr>
        <w:t>payment</w:t>
      </w:r>
      <w:proofErr w:type="spellEnd"/>
      <w:r w:rsidRPr="00790481">
        <w:rPr>
          <w:rFonts w:ascii="Arial" w:hAnsi="Arial" w:cs="Arial"/>
          <w:sz w:val="22"/>
        </w:rPr>
        <w:t>) agli enti della Pubblica Amministrazione come definita dall’art. 1, comma 2 della Legge 31 dicembre 2009, n. 196 (più in dettaglio “</w:t>
      </w:r>
      <w:r w:rsidRPr="00790481">
        <w:rPr>
          <w:rStyle w:val="Enfasicorsivo"/>
          <w:rFonts w:ascii="Arial" w:hAnsi="Arial" w:cs="Arial"/>
          <w:sz w:val="22"/>
        </w:rPr>
        <w:t>per amministrazioni pubbliche si intendono gli enti e gli altri soggetti che costituiscono il settore istituzionale delle amministrazioni pubbliche individuati dall’Istituto nazionale di statistica (ISTAT)…”</w:t>
      </w:r>
      <w:r w:rsidRPr="00790481">
        <w:rPr>
          <w:rFonts w:ascii="Arial" w:hAnsi="Arial" w:cs="Arial"/>
          <w:sz w:val="22"/>
        </w:rPr>
        <w:t xml:space="preserve">), è stato adeguato il Bilancio con l’istituzione di appositi capitoli nelle Partite di Giro da movimentare in fase di pagamento delle fatture alle ditte, in </w:t>
      </w:r>
      <w:r w:rsidRPr="00790481">
        <w:rPr>
          <w:rFonts w:ascii="Arial" w:hAnsi="Arial" w:cs="Arial"/>
          <w:sz w:val="22"/>
        </w:rPr>
        <w:lastRenderedPageBreak/>
        <w:t>entrata capitolo 9.100.01.6.970.0 per la trattenuta dell’IVA alla ditta e nella spesa capitolo 99.01.7.01.4.970.0 per il versamento dell’IVA all’Erario;</w:t>
      </w:r>
    </w:p>
    <w:p w:rsidR="008521B1" w:rsidRPr="00790481" w:rsidRDefault="008521B1" w:rsidP="008521B1">
      <w:pPr>
        <w:rPr>
          <w:rFonts w:ascii="Arial" w:hAnsi="Arial" w:cs="Arial"/>
          <w:sz w:val="22"/>
        </w:rPr>
      </w:pPr>
    </w:p>
    <w:p w:rsidR="008521B1" w:rsidRPr="0079048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90481">
        <w:rPr>
          <w:rFonts w:ascii="Arial" w:hAnsi="Arial" w:cs="Arial"/>
          <w:b/>
          <w:caps/>
          <w:sz w:val="22"/>
          <w:szCs w:val="22"/>
        </w:rPr>
        <w:t>Viste</w:t>
      </w:r>
      <w:r w:rsidRPr="00790481">
        <w:rPr>
          <w:rFonts w:ascii="Arial" w:hAnsi="Arial" w:cs="Arial"/>
          <w:sz w:val="22"/>
          <w:szCs w:val="22"/>
        </w:rPr>
        <w:t xml:space="preserve"> le risultanze del </w:t>
      </w:r>
      <w:proofErr w:type="spellStart"/>
      <w:r w:rsidRPr="00790481">
        <w:rPr>
          <w:rFonts w:ascii="Arial" w:hAnsi="Arial" w:cs="Arial"/>
          <w:sz w:val="22"/>
          <w:szCs w:val="22"/>
        </w:rPr>
        <w:t>riaccertamento</w:t>
      </w:r>
      <w:proofErr w:type="spellEnd"/>
      <w:r w:rsidRPr="00790481">
        <w:rPr>
          <w:rFonts w:ascii="Arial" w:hAnsi="Arial" w:cs="Arial"/>
          <w:sz w:val="22"/>
          <w:szCs w:val="22"/>
        </w:rPr>
        <w:t xml:space="preserve"> ordinario dei residui contenute nei prospetti distinti per capitoli di riferimento; </w:t>
      </w:r>
    </w:p>
    <w:p w:rsidR="008521B1" w:rsidRPr="00790481" w:rsidRDefault="008521B1" w:rsidP="008521B1">
      <w:pPr>
        <w:pStyle w:val="Default"/>
        <w:rPr>
          <w:rFonts w:ascii="Arial" w:hAnsi="Arial" w:cs="Arial"/>
          <w:b/>
          <w:caps/>
          <w:sz w:val="22"/>
          <w:szCs w:val="22"/>
        </w:rPr>
      </w:pPr>
    </w:p>
    <w:p w:rsidR="008521B1" w:rsidRPr="00790481" w:rsidRDefault="008521B1" w:rsidP="008521B1">
      <w:pPr>
        <w:pStyle w:val="Default"/>
        <w:rPr>
          <w:rFonts w:ascii="Arial" w:hAnsi="Arial" w:cs="Arial"/>
          <w:sz w:val="22"/>
          <w:szCs w:val="22"/>
        </w:rPr>
      </w:pPr>
      <w:r w:rsidRPr="00790481">
        <w:rPr>
          <w:rFonts w:ascii="Arial" w:hAnsi="Arial" w:cs="Arial"/>
          <w:b/>
          <w:caps/>
          <w:sz w:val="22"/>
          <w:szCs w:val="22"/>
        </w:rPr>
        <w:t>Visto</w:t>
      </w:r>
      <w:r w:rsidRPr="00790481">
        <w:rPr>
          <w:rFonts w:ascii="Arial" w:hAnsi="Arial" w:cs="Arial"/>
          <w:sz w:val="22"/>
          <w:szCs w:val="22"/>
        </w:rPr>
        <w:t xml:space="preserve"> il </w:t>
      </w:r>
      <w:proofErr w:type="spellStart"/>
      <w:r w:rsidRPr="00790481">
        <w:rPr>
          <w:rFonts w:ascii="Arial" w:hAnsi="Arial" w:cs="Arial"/>
          <w:sz w:val="22"/>
          <w:szCs w:val="22"/>
        </w:rPr>
        <w:t>D.Lgs.</w:t>
      </w:r>
      <w:proofErr w:type="spellEnd"/>
      <w:r w:rsidRPr="00790481">
        <w:rPr>
          <w:rFonts w:ascii="Arial" w:hAnsi="Arial" w:cs="Arial"/>
          <w:sz w:val="22"/>
          <w:szCs w:val="22"/>
        </w:rPr>
        <w:t xml:space="preserve"> n. 118/2011 ed il corrispondente DPCM del 28.12.2011; </w:t>
      </w:r>
    </w:p>
    <w:p w:rsidR="008521B1" w:rsidRPr="00790481" w:rsidRDefault="008521B1" w:rsidP="008521B1">
      <w:pPr>
        <w:pStyle w:val="Default"/>
        <w:rPr>
          <w:rFonts w:ascii="Arial" w:hAnsi="Arial" w:cs="Arial"/>
          <w:b/>
          <w:caps/>
          <w:sz w:val="22"/>
          <w:szCs w:val="22"/>
        </w:rPr>
      </w:pPr>
    </w:p>
    <w:p w:rsidR="008521B1" w:rsidRPr="00790481" w:rsidRDefault="008521B1" w:rsidP="008521B1">
      <w:pPr>
        <w:pStyle w:val="Default"/>
        <w:rPr>
          <w:rFonts w:ascii="Arial" w:hAnsi="Arial" w:cs="Arial"/>
          <w:sz w:val="22"/>
          <w:szCs w:val="22"/>
        </w:rPr>
      </w:pPr>
      <w:r w:rsidRPr="00790481">
        <w:rPr>
          <w:rFonts w:ascii="Arial" w:hAnsi="Arial" w:cs="Arial"/>
          <w:b/>
          <w:caps/>
          <w:sz w:val="22"/>
          <w:szCs w:val="22"/>
        </w:rPr>
        <w:t>Visto</w:t>
      </w:r>
      <w:r w:rsidRPr="00790481">
        <w:rPr>
          <w:rFonts w:ascii="Arial" w:hAnsi="Arial" w:cs="Arial"/>
          <w:sz w:val="22"/>
          <w:szCs w:val="22"/>
        </w:rPr>
        <w:t xml:space="preserve"> il vigente Regolamento A.R.T.A.; </w:t>
      </w:r>
    </w:p>
    <w:p w:rsidR="008521B1" w:rsidRPr="00790481" w:rsidRDefault="008521B1" w:rsidP="008521B1">
      <w:pPr>
        <w:pStyle w:val="Default"/>
        <w:rPr>
          <w:rFonts w:ascii="Arial" w:hAnsi="Arial" w:cs="Arial"/>
          <w:b/>
          <w:caps/>
          <w:sz w:val="22"/>
          <w:szCs w:val="22"/>
        </w:rPr>
      </w:pPr>
    </w:p>
    <w:p w:rsidR="008521B1" w:rsidRPr="00790481" w:rsidRDefault="008521B1" w:rsidP="008521B1">
      <w:pPr>
        <w:pStyle w:val="Default"/>
        <w:rPr>
          <w:rFonts w:ascii="Arial" w:hAnsi="Arial" w:cs="Arial"/>
          <w:sz w:val="22"/>
          <w:szCs w:val="22"/>
        </w:rPr>
      </w:pPr>
      <w:r w:rsidRPr="00790481">
        <w:rPr>
          <w:rFonts w:ascii="Arial" w:hAnsi="Arial" w:cs="Arial"/>
          <w:b/>
          <w:caps/>
          <w:sz w:val="22"/>
          <w:szCs w:val="22"/>
        </w:rPr>
        <w:t>Visto</w:t>
      </w:r>
      <w:r w:rsidRPr="00790481">
        <w:rPr>
          <w:rFonts w:ascii="Arial" w:hAnsi="Arial" w:cs="Arial"/>
          <w:sz w:val="22"/>
          <w:szCs w:val="22"/>
        </w:rPr>
        <w:t xml:space="preserve"> il vigente Regolamento di contabilità A.R.T.A.; </w:t>
      </w:r>
    </w:p>
    <w:p w:rsidR="008521B1" w:rsidRPr="00790481" w:rsidRDefault="008521B1" w:rsidP="008521B1">
      <w:pPr>
        <w:pStyle w:val="Default"/>
        <w:jc w:val="both"/>
        <w:rPr>
          <w:rFonts w:ascii="Arial" w:hAnsi="Arial" w:cs="Arial"/>
          <w:b/>
          <w:caps/>
          <w:sz w:val="22"/>
          <w:szCs w:val="22"/>
        </w:rPr>
      </w:pPr>
    </w:p>
    <w:p w:rsidR="008521B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7521">
        <w:rPr>
          <w:rFonts w:ascii="Arial" w:hAnsi="Arial" w:cs="Arial"/>
          <w:b/>
          <w:caps/>
          <w:sz w:val="22"/>
          <w:szCs w:val="22"/>
        </w:rPr>
        <w:t>RISCONTRATA</w:t>
      </w:r>
      <w:r w:rsidRPr="00107521">
        <w:rPr>
          <w:rFonts w:ascii="Arial" w:hAnsi="Arial" w:cs="Arial"/>
          <w:sz w:val="22"/>
          <w:szCs w:val="22"/>
        </w:rPr>
        <w:t xml:space="preserve"> la regolarità tecnico – contabile;</w:t>
      </w:r>
    </w:p>
    <w:p w:rsidR="008521B1" w:rsidRDefault="008521B1" w:rsidP="008521B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8521B1" w:rsidRPr="00816804" w:rsidRDefault="008521B1" w:rsidP="008521B1">
      <w:pPr>
        <w:suppressAutoHyphens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VISTA </w:t>
      </w:r>
      <w:r>
        <w:rPr>
          <w:rFonts w:ascii="Arial" w:hAnsi="Arial" w:cs="Arial"/>
          <w:bCs/>
          <w:sz w:val="22"/>
        </w:rPr>
        <w:t>la</w:t>
      </w:r>
      <w:r w:rsidRPr="002A4252">
        <w:rPr>
          <w:rFonts w:ascii="Arial" w:hAnsi="Arial" w:cs="Arial"/>
          <w:bCs/>
          <w:sz w:val="22"/>
        </w:rPr>
        <w:t xml:space="preserve"> Deliberazione del Direttore Generale n. 55 del 13/04/2022, </w:t>
      </w:r>
      <w:r>
        <w:rPr>
          <w:rFonts w:ascii="Arial" w:hAnsi="Arial" w:cs="Arial"/>
          <w:bCs/>
          <w:sz w:val="22"/>
        </w:rPr>
        <w:t>di conferimento del</w:t>
      </w:r>
      <w:r w:rsidRPr="002A4252">
        <w:rPr>
          <w:rFonts w:ascii="Arial" w:hAnsi="Arial" w:cs="Arial"/>
          <w:bCs/>
          <w:sz w:val="22"/>
        </w:rPr>
        <w:t>l’incarico di Dirigente della Sezione dell’Area Amministrativa “Attività Economiche - Finanziarie e Risorse Umane”</w:t>
      </w:r>
      <w:r>
        <w:rPr>
          <w:rFonts w:ascii="Arial" w:hAnsi="Arial" w:cs="Arial"/>
          <w:bCs/>
          <w:sz w:val="22"/>
        </w:rPr>
        <w:t xml:space="preserve"> alla </w:t>
      </w:r>
      <w:proofErr w:type="spellStart"/>
      <w:r>
        <w:rPr>
          <w:rFonts w:ascii="Arial" w:hAnsi="Arial" w:cs="Arial"/>
          <w:bCs/>
          <w:sz w:val="22"/>
        </w:rPr>
        <w:t>D.ssa</w:t>
      </w:r>
      <w:proofErr w:type="spellEnd"/>
      <w:r>
        <w:rPr>
          <w:rFonts w:ascii="Arial" w:hAnsi="Arial" w:cs="Arial"/>
          <w:bCs/>
          <w:sz w:val="22"/>
        </w:rPr>
        <w:t xml:space="preserve"> Paola Taglialatela</w:t>
      </w:r>
      <w:r w:rsidRPr="002A4252">
        <w:rPr>
          <w:rFonts w:ascii="Arial" w:hAnsi="Arial" w:cs="Arial"/>
          <w:bCs/>
          <w:sz w:val="22"/>
        </w:rPr>
        <w:t>;</w:t>
      </w:r>
    </w:p>
    <w:p w:rsidR="008521B1" w:rsidRPr="00790481" w:rsidRDefault="008521B1" w:rsidP="008521B1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8521B1" w:rsidRDefault="008521B1" w:rsidP="008521B1">
      <w:pPr>
        <w:pStyle w:val="Default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790481">
        <w:rPr>
          <w:rFonts w:ascii="Arial" w:hAnsi="Arial" w:cs="Arial"/>
          <w:b/>
          <w:bCs/>
          <w:caps/>
          <w:sz w:val="22"/>
          <w:szCs w:val="22"/>
        </w:rPr>
        <w:t>DEtermina</w:t>
      </w:r>
    </w:p>
    <w:p w:rsidR="008521B1" w:rsidRPr="00790481" w:rsidRDefault="008521B1" w:rsidP="008521B1">
      <w:pPr>
        <w:pStyle w:val="Default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:rsidR="008521B1" w:rsidRDefault="008521B1" w:rsidP="008521B1">
      <w:pPr>
        <w:pStyle w:val="Default"/>
        <w:rPr>
          <w:rFonts w:ascii="Arial" w:hAnsi="Arial" w:cs="Arial"/>
          <w:bCs/>
          <w:sz w:val="22"/>
          <w:szCs w:val="22"/>
        </w:rPr>
      </w:pPr>
      <w:proofErr w:type="gramStart"/>
      <w:r w:rsidRPr="00081E63">
        <w:rPr>
          <w:rFonts w:ascii="Arial" w:hAnsi="Arial" w:cs="Arial"/>
          <w:bCs/>
          <w:sz w:val="22"/>
          <w:szCs w:val="22"/>
        </w:rPr>
        <w:t>per</w:t>
      </w:r>
      <w:proofErr w:type="gramEnd"/>
      <w:r w:rsidRPr="00081E63">
        <w:rPr>
          <w:rFonts w:ascii="Arial" w:hAnsi="Arial" w:cs="Arial"/>
          <w:bCs/>
          <w:sz w:val="22"/>
          <w:szCs w:val="22"/>
        </w:rPr>
        <w:t xml:space="preserve"> le motivazioni di cui alla premessa narrativa, che sono parte integrante del presente atto</w:t>
      </w:r>
    </w:p>
    <w:p w:rsidR="008521B1" w:rsidRPr="00081E63" w:rsidRDefault="008521B1" w:rsidP="008521B1">
      <w:pPr>
        <w:pStyle w:val="Default"/>
        <w:rPr>
          <w:rFonts w:ascii="Arial" w:hAnsi="Arial" w:cs="Arial"/>
          <w:bCs/>
          <w:sz w:val="22"/>
          <w:szCs w:val="22"/>
        </w:rPr>
      </w:pPr>
    </w:p>
    <w:p w:rsidR="008521B1" w:rsidRPr="00CD5EDA" w:rsidRDefault="008521B1" w:rsidP="008521B1">
      <w:pPr>
        <w:pStyle w:val="Default"/>
        <w:rPr>
          <w:rFonts w:ascii="Arial" w:hAnsi="Arial" w:cs="Arial"/>
          <w:bCs/>
          <w:sz w:val="22"/>
          <w:szCs w:val="22"/>
        </w:rPr>
      </w:pPr>
    </w:p>
    <w:p w:rsidR="008521B1" w:rsidRDefault="008521B1" w:rsidP="008521B1">
      <w:pPr>
        <w:pStyle w:val="Default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A157DD">
        <w:rPr>
          <w:rFonts w:ascii="Arial" w:hAnsi="Arial" w:cs="Arial"/>
          <w:b/>
          <w:color w:val="auto"/>
          <w:sz w:val="22"/>
          <w:szCs w:val="22"/>
        </w:rPr>
        <w:t>DI ANNULLARE</w:t>
      </w:r>
      <w:r>
        <w:rPr>
          <w:rFonts w:ascii="Arial" w:hAnsi="Arial" w:cs="Arial"/>
          <w:color w:val="auto"/>
          <w:sz w:val="22"/>
          <w:szCs w:val="22"/>
        </w:rPr>
        <w:t xml:space="preserve"> la determina n. 657 del 30/04/2024 e sostituirla con la presente determina;</w:t>
      </w:r>
    </w:p>
    <w:p w:rsidR="008521B1" w:rsidRPr="007745B1" w:rsidRDefault="008521B1" w:rsidP="008521B1">
      <w:pPr>
        <w:pStyle w:val="Default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:rsidR="008521B1" w:rsidRPr="00790481" w:rsidRDefault="008521B1" w:rsidP="008521B1">
      <w:pPr>
        <w:pStyle w:val="Default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aps/>
          <w:color w:val="auto"/>
          <w:sz w:val="22"/>
          <w:szCs w:val="22"/>
        </w:rPr>
        <w:t xml:space="preserve">di </w:t>
      </w:r>
      <w:r w:rsidRPr="00790481">
        <w:rPr>
          <w:rFonts w:ascii="Arial" w:hAnsi="Arial" w:cs="Arial"/>
          <w:b/>
          <w:caps/>
          <w:color w:val="auto"/>
          <w:sz w:val="22"/>
          <w:szCs w:val="22"/>
        </w:rPr>
        <w:t>approvare</w:t>
      </w:r>
      <w:r w:rsidRPr="00790481">
        <w:rPr>
          <w:rFonts w:ascii="Arial" w:hAnsi="Arial" w:cs="Arial"/>
          <w:color w:val="auto"/>
          <w:sz w:val="22"/>
          <w:szCs w:val="22"/>
        </w:rPr>
        <w:t xml:space="preserve">, ai sensi dell’articolo 3, comma 4, del </w:t>
      </w:r>
      <w:proofErr w:type="spellStart"/>
      <w:r w:rsidRPr="00790481">
        <w:rPr>
          <w:rFonts w:ascii="Arial" w:hAnsi="Arial" w:cs="Arial"/>
          <w:color w:val="auto"/>
          <w:sz w:val="22"/>
          <w:szCs w:val="22"/>
        </w:rPr>
        <w:t>d.Lgs.</w:t>
      </w:r>
      <w:proofErr w:type="spellEnd"/>
      <w:r w:rsidRPr="00790481">
        <w:rPr>
          <w:rFonts w:ascii="Arial" w:hAnsi="Arial" w:cs="Arial"/>
          <w:color w:val="auto"/>
          <w:sz w:val="22"/>
          <w:szCs w:val="22"/>
        </w:rPr>
        <w:t xml:space="preserve"> n. 118/2011 e in ossequio al principio contabile </w:t>
      </w:r>
      <w:proofErr w:type="spellStart"/>
      <w:r w:rsidRPr="00790481">
        <w:rPr>
          <w:rFonts w:ascii="Arial" w:hAnsi="Arial" w:cs="Arial"/>
          <w:color w:val="auto"/>
          <w:sz w:val="22"/>
          <w:szCs w:val="22"/>
        </w:rPr>
        <w:t>all</w:t>
      </w:r>
      <w:proofErr w:type="spellEnd"/>
      <w:r w:rsidRPr="00790481">
        <w:rPr>
          <w:rFonts w:ascii="Arial" w:hAnsi="Arial" w:cs="Arial"/>
          <w:color w:val="auto"/>
          <w:sz w:val="22"/>
          <w:szCs w:val="22"/>
        </w:rPr>
        <w:t xml:space="preserve">. 4/2 al citato decreto, punto 9.1, i seguenti elenchi dei residui attivi e passivi cancellati, </w:t>
      </w:r>
      <w:proofErr w:type="spellStart"/>
      <w:r w:rsidRPr="00790481">
        <w:rPr>
          <w:rFonts w:ascii="Arial" w:hAnsi="Arial" w:cs="Arial"/>
          <w:color w:val="auto"/>
          <w:sz w:val="22"/>
          <w:szCs w:val="22"/>
        </w:rPr>
        <w:t>reimputati</w:t>
      </w:r>
      <w:proofErr w:type="spellEnd"/>
      <w:r w:rsidRPr="00790481">
        <w:rPr>
          <w:rFonts w:ascii="Arial" w:hAnsi="Arial" w:cs="Arial"/>
          <w:color w:val="auto"/>
          <w:sz w:val="22"/>
          <w:szCs w:val="22"/>
        </w:rPr>
        <w:t xml:space="preserve"> e mantenuti alla data del 31 dicembre 202</w:t>
      </w:r>
      <w:r>
        <w:rPr>
          <w:rFonts w:ascii="Arial" w:hAnsi="Arial" w:cs="Arial"/>
          <w:color w:val="auto"/>
          <w:sz w:val="22"/>
          <w:szCs w:val="22"/>
        </w:rPr>
        <w:t>3</w:t>
      </w:r>
      <w:r w:rsidRPr="00790481">
        <w:rPr>
          <w:rFonts w:ascii="Arial" w:hAnsi="Arial" w:cs="Arial"/>
          <w:color w:val="auto"/>
          <w:sz w:val="22"/>
          <w:szCs w:val="22"/>
        </w:rPr>
        <w:t xml:space="preserve">, risultanti dall’operazione di </w:t>
      </w:r>
      <w:proofErr w:type="spellStart"/>
      <w:r w:rsidRPr="00790481">
        <w:rPr>
          <w:rFonts w:ascii="Arial" w:hAnsi="Arial" w:cs="Arial"/>
          <w:color w:val="auto"/>
          <w:sz w:val="22"/>
          <w:szCs w:val="22"/>
        </w:rPr>
        <w:t>riaccertamento</w:t>
      </w:r>
      <w:proofErr w:type="spellEnd"/>
      <w:r w:rsidRPr="00790481">
        <w:rPr>
          <w:rFonts w:ascii="Arial" w:hAnsi="Arial" w:cs="Arial"/>
          <w:color w:val="auto"/>
          <w:sz w:val="22"/>
          <w:szCs w:val="22"/>
        </w:rPr>
        <w:t xml:space="preserve"> ordinario:</w:t>
      </w:r>
    </w:p>
    <w:p w:rsidR="008521B1" w:rsidRDefault="008521B1" w:rsidP="008521B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843"/>
      </w:tblGrid>
      <w:tr w:rsidR="008521B1" w:rsidRPr="00790481" w:rsidTr="00986DAD">
        <w:trPr>
          <w:trHeight w:val="207"/>
        </w:trPr>
        <w:tc>
          <w:tcPr>
            <w:tcW w:w="8222" w:type="dxa"/>
          </w:tcPr>
          <w:p w:rsidR="008521B1" w:rsidRPr="004F1097" w:rsidRDefault="008521B1" w:rsidP="00986DAD">
            <w:pPr>
              <w:jc w:val="center"/>
              <w:rPr>
                <w:rFonts w:ascii="Arial" w:hAnsi="Arial" w:cs="Arial"/>
                <w:b/>
                <w:caps/>
                <w:sz w:val="22"/>
              </w:rPr>
            </w:pPr>
            <w:r w:rsidRPr="004F1097">
              <w:rPr>
                <w:rFonts w:ascii="Arial" w:hAnsi="Arial" w:cs="Arial"/>
                <w:b/>
                <w:caps/>
                <w:sz w:val="22"/>
              </w:rPr>
              <w:t>elenco</w:t>
            </w:r>
          </w:p>
        </w:tc>
        <w:tc>
          <w:tcPr>
            <w:tcW w:w="1843" w:type="dxa"/>
          </w:tcPr>
          <w:p w:rsidR="008521B1" w:rsidRPr="004F1097" w:rsidRDefault="008521B1" w:rsidP="00986DA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F1097">
              <w:rPr>
                <w:rFonts w:ascii="Arial" w:hAnsi="Arial" w:cs="Arial"/>
                <w:b/>
                <w:sz w:val="22"/>
              </w:rPr>
              <w:t>Importo</w:t>
            </w:r>
          </w:p>
        </w:tc>
      </w:tr>
      <w:tr w:rsidR="008521B1" w:rsidRPr="004E79AC" w:rsidTr="00986DAD">
        <w:trPr>
          <w:trHeight w:val="207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 w:rsidRPr="00790481">
              <w:rPr>
                <w:rFonts w:ascii="Arial" w:hAnsi="Arial" w:cs="Arial"/>
                <w:sz w:val="22"/>
              </w:rPr>
              <w:t xml:space="preserve">Residui attivi </w:t>
            </w:r>
            <w:r>
              <w:rPr>
                <w:rFonts w:ascii="Arial" w:hAnsi="Arial" w:cs="Arial"/>
                <w:sz w:val="22"/>
              </w:rPr>
              <w:t xml:space="preserve">da gestione residui </w:t>
            </w:r>
            <w:r w:rsidRPr="00790481">
              <w:rPr>
                <w:rFonts w:ascii="Arial" w:hAnsi="Arial" w:cs="Arial"/>
                <w:sz w:val="22"/>
              </w:rPr>
              <w:t>cancellati definitivamente</w:t>
            </w:r>
          </w:p>
        </w:tc>
        <w:tc>
          <w:tcPr>
            <w:tcW w:w="1843" w:type="dxa"/>
          </w:tcPr>
          <w:p w:rsidR="008521B1" w:rsidRPr="004E79AC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 w:rsidRPr="004E79AC">
              <w:rPr>
                <w:rFonts w:ascii="Arial" w:hAnsi="Arial" w:cs="Arial"/>
                <w:sz w:val="22"/>
              </w:rPr>
              <w:t xml:space="preserve">€ </w:t>
            </w:r>
            <w:r>
              <w:rPr>
                <w:rFonts w:ascii="Arial" w:hAnsi="Arial" w:cs="Arial"/>
                <w:sz w:val="22"/>
              </w:rPr>
              <w:t>454.664,61</w:t>
            </w:r>
          </w:p>
        </w:tc>
      </w:tr>
      <w:tr w:rsidR="008521B1" w:rsidRPr="00790481" w:rsidTr="00986DAD">
        <w:trPr>
          <w:trHeight w:val="207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 w:rsidRPr="00790481">
              <w:rPr>
                <w:rFonts w:ascii="Arial" w:hAnsi="Arial" w:cs="Arial"/>
                <w:sz w:val="22"/>
              </w:rPr>
              <w:t xml:space="preserve">Residui attivi </w:t>
            </w:r>
            <w:r>
              <w:rPr>
                <w:rFonts w:ascii="Arial" w:hAnsi="Arial" w:cs="Arial"/>
                <w:sz w:val="22"/>
              </w:rPr>
              <w:t xml:space="preserve">da gestione competenza </w:t>
            </w:r>
            <w:r w:rsidRPr="00790481">
              <w:rPr>
                <w:rFonts w:ascii="Arial" w:hAnsi="Arial" w:cs="Arial"/>
                <w:sz w:val="22"/>
              </w:rPr>
              <w:t>cancellati definitivamente</w:t>
            </w:r>
          </w:p>
        </w:tc>
        <w:tc>
          <w:tcPr>
            <w:tcW w:w="1843" w:type="dxa"/>
          </w:tcPr>
          <w:p w:rsidR="008521B1" w:rsidRPr="00790481" w:rsidRDefault="008521B1" w:rsidP="00986DAD">
            <w:pPr>
              <w:tabs>
                <w:tab w:val="left" w:pos="1451"/>
              </w:tabs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€ 250.000,00 </w:t>
            </w:r>
          </w:p>
        </w:tc>
      </w:tr>
      <w:tr w:rsidR="008521B1" w:rsidRPr="00790481" w:rsidTr="00986DAD">
        <w:trPr>
          <w:trHeight w:val="207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 w:rsidRPr="00790481">
              <w:rPr>
                <w:rFonts w:ascii="Arial" w:hAnsi="Arial" w:cs="Arial"/>
                <w:sz w:val="22"/>
              </w:rPr>
              <w:t xml:space="preserve">Residui passivi </w:t>
            </w:r>
            <w:r>
              <w:rPr>
                <w:rFonts w:ascii="Arial" w:hAnsi="Arial" w:cs="Arial"/>
                <w:sz w:val="22"/>
              </w:rPr>
              <w:t xml:space="preserve">da gestione residui </w:t>
            </w:r>
            <w:r w:rsidRPr="00790481">
              <w:rPr>
                <w:rFonts w:ascii="Arial" w:hAnsi="Arial" w:cs="Arial"/>
                <w:sz w:val="22"/>
              </w:rPr>
              <w:t>cancellati definitivamente</w:t>
            </w:r>
          </w:p>
        </w:tc>
        <w:tc>
          <w:tcPr>
            <w:tcW w:w="1843" w:type="dxa"/>
          </w:tcPr>
          <w:p w:rsidR="008521B1" w:rsidRPr="004E79AC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 w:rsidRPr="004E79AC">
              <w:rPr>
                <w:rFonts w:ascii="Arial" w:hAnsi="Arial" w:cs="Arial"/>
                <w:sz w:val="22"/>
              </w:rPr>
              <w:t xml:space="preserve">€ </w:t>
            </w:r>
            <w:r>
              <w:rPr>
                <w:rFonts w:ascii="Arial" w:hAnsi="Arial" w:cs="Arial"/>
                <w:sz w:val="22"/>
              </w:rPr>
              <w:t>610.924,73</w:t>
            </w:r>
            <w:r w:rsidRPr="004E79AC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8521B1" w:rsidRPr="00790481" w:rsidTr="00986DAD">
        <w:trPr>
          <w:trHeight w:val="207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 w:rsidRPr="00790481">
              <w:rPr>
                <w:rFonts w:ascii="Arial" w:hAnsi="Arial" w:cs="Arial"/>
                <w:sz w:val="22"/>
              </w:rPr>
              <w:t xml:space="preserve">Residui passivi </w:t>
            </w:r>
            <w:r>
              <w:rPr>
                <w:rFonts w:ascii="Arial" w:hAnsi="Arial" w:cs="Arial"/>
                <w:sz w:val="22"/>
              </w:rPr>
              <w:t xml:space="preserve">da gestione competenza </w:t>
            </w:r>
            <w:r w:rsidRPr="00790481">
              <w:rPr>
                <w:rFonts w:ascii="Arial" w:hAnsi="Arial" w:cs="Arial"/>
                <w:sz w:val="22"/>
              </w:rPr>
              <w:t>cancellati definitivamente</w:t>
            </w:r>
          </w:p>
        </w:tc>
        <w:tc>
          <w:tcPr>
            <w:tcW w:w="1843" w:type="dxa"/>
          </w:tcPr>
          <w:p w:rsidR="008521B1" w:rsidRPr="004E79AC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 w:rsidRPr="004E79AC">
              <w:rPr>
                <w:rFonts w:ascii="Arial" w:hAnsi="Arial" w:cs="Arial"/>
                <w:sz w:val="22"/>
              </w:rPr>
              <w:t>€ 1.224,17</w:t>
            </w:r>
          </w:p>
        </w:tc>
      </w:tr>
      <w:tr w:rsidR="008521B1" w:rsidRPr="001E6E26" w:rsidTr="00986DAD">
        <w:trPr>
          <w:trHeight w:val="300"/>
        </w:trPr>
        <w:tc>
          <w:tcPr>
            <w:tcW w:w="8222" w:type="dxa"/>
          </w:tcPr>
          <w:p w:rsidR="008521B1" w:rsidRPr="001E6E26" w:rsidRDefault="008521B1" w:rsidP="00986DAD">
            <w:pPr>
              <w:rPr>
                <w:rFonts w:ascii="Arial" w:hAnsi="Arial" w:cs="Arial"/>
                <w:sz w:val="22"/>
              </w:rPr>
            </w:pPr>
            <w:r w:rsidRPr="001E6E26">
              <w:rPr>
                <w:rFonts w:ascii="Arial" w:hAnsi="Arial" w:cs="Arial"/>
                <w:sz w:val="22"/>
              </w:rPr>
              <w:t xml:space="preserve">Residui </w:t>
            </w:r>
            <w:r>
              <w:rPr>
                <w:rFonts w:ascii="Arial" w:hAnsi="Arial" w:cs="Arial"/>
                <w:sz w:val="22"/>
              </w:rPr>
              <w:t>attivi conservati al 31/12/2023</w:t>
            </w:r>
            <w:r w:rsidRPr="001E6E26">
              <w:rPr>
                <w:rFonts w:ascii="Arial" w:hAnsi="Arial" w:cs="Arial"/>
                <w:sz w:val="22"/>
              </w:rPr>
              <w:t xml:space="preserve"> provenienti dalla gestione dei residui </w:t>
            </w:r>
          </w:p>
        </w:tc>
        <w:tc>
          <w:tcPr>
            <w:tcW w:w="1843" w:type="dxa"/>
          </w:tcPr>
          <w:p w:rsidR="008521B1" w:rsidRPr="004E79AC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 w:rsidRPr="004E79AC">
              <w:rPr>
                <w:rFonts w:ascii="Arial" w:hAnsi="Arial" w:cs="Arial"/>
                <w:color w:val="000000"/>
                <w:sz w:val="22"/>
              </w:rPr>
              <w:t xml:space="preserve">€ </w:t>
            </w:r>
            <w:r>
              <w:rPr>
                <w:rFonts w:ascii="Arial" w:hAnsi="Arial" w:cs="Arial"/>
                <w:sz w:val="22"/>
              </w:rPr>
              <w:t>7.438.537,01</w:t>
            </w:r>
            <w:r w:rsidRPr="004E79AC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8521B1" w:rsidRPr="004E79AC" w:rsidTr="00986DAD">
        <w:trPr>
          <w:trHeight w:val="208"/>
        </w:trPr>
        <w:tc>
          <w:tcPr>
            <w:tcW w:w="8222" w:type="dxa"/>
          </w:tcPr>
          <w:p w:rsidR="008521B1" w:rsidRPr="001E6E26" w:rsidRDefault="008521B1" w:rsidP="00986DAD">
            <w:pPr>
              <w:rPr>
                <w:rFonts w:ascii="Arial" w:hAnsi="Arial" w:cs="Arial"/>
                <w:sz w:val="22"/>
              </w:rPr>
            </w:pPr>
            <w:r w:rsidRPr="001E6E26">
              <w:rPr>
                <w:rFonts w:ascii="Arial" w:hAnsi="Arial" w:cs="Arial"/>
                <w:sz w:val="22"/>
              </w:rPr>
              <w:t>Residui</w:t>
            </w:r>
            <w:r>
              <w:rPr>
                <w:rFonts w:ascii="Arial" w:hAnsi="Arial" w:cs="Arial"/>
                <w:sz w:val="22"/>
              </w:rPr>
              <w:t xml:space="preserve"> attivi conservati al 31/12/2023 </w:t>
            </w:r>
            <w:r w:rsidRPr="001E6E26">
              <w:rPr>
                <w:rFonts w:ascii="Arial" w:hAnsi="Arial" w:cs="Arial"/>
                <w:sz w:val="22"/>
              </w:rPr>
              <w:t xml:space="preserve">provenienti dalla gestione di competenza </w:t>
            </w:r>
          </w:p>
        </w:tc>
        <w:tc>
          <w:tcPr>
            <w:tcW w:w="1843" w:type="dxa"/>
          </w:tcPr>
          <w:p w:rsidR="008521B1" w:rsidRPr="004E79AC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 w:rsidRPr="004E79AC">
              <w:rPr>
                <w:rFonts w:ascii="Arial" w:hAnsi="Arial" w:cs="Arial"/>
                <w:color w:val="000000"/>
                <w:sz w:val="22"/>
              </w:rPr>
              <w:t xml:space="preserve">€ </w:t>
            </w:r>
            <w:r>
              <w:rPr>
                <w:rFonts w:ascii="Arial" w:hAnsi="Arial" w:cs="Arial"/>
                <w:sz w:val="22"/>
              </w:rPr>
              <w:t>7.9</w:t>
            </w:r>
            <w:r w:rsidRPr="004E79AC">
              <w:rPr>
                <w:rFonts w:ascii="Arial" w:hAnsi="Arial" w:cs="Arial"/>
                <w:sz w:val="22"/>
              </w:rPr>
              <w:t>79.196,21</w:t>
            </w:r>
          </w:p>
        </w:tc>
      </w:tr>
      <w:tr w:rsidR="008521B1" w:rsidRPr="00F70896" w:rsidTr="00986DAD">
        <w:trPr>
          <w:trHeight w:val="208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 w:rsidRPr="00790481">
              <w:rPr>
                <w:rFonts w:ascii="Arial" w:hAnsi="Arial" w:cs="Arial"/>
                <w:sz w:val="22"/>
              </w:rPr>
              <w:t xml:space="preserve">Residui </w:t>
            </w:r>
            <w:r>
              <w:rPr>
                <w:rFonts w:ascii="Arial" w:hAnsi="Arial" w:cs="Arial"/>
                <w:sz w:val="22"/>
              </w:rPr>
              <w:t>passivi conservati al 31/12/2023</w:t>
            </w:r>
            <w:r w:rsidRPr="00790481">
              <w:rPr>
                <w:rFonts w:ascii="Arial" w:hAnsi="Arial" w:cs="Arial"/>
                <w:sz w:val="22"/>
              </w:rPr>
              <w:t xml:space="preserve"> provenienti dalla gestione dei residui </w:t>
            </w:r>
          </w:p>
        </w:tc>
        <w:tc>
          <w:tcPr>
            <w:tcW w:w="1843" w:type="dxa"/>
          </w:tcPr>
          <w:p w:rsidR="008521B1" w:rsidRPr="00F431D8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 w:rsidRPr="00F431D8">
              <w:rPr>
                <w:rFonts w:ascii="Arial" w:hAnsi="Arial" w:cs="Arial"/>
                <w:sz w:val="22"/>
              </w:rPr>
              <w:t>€ 11.</w:t>
            </w:r>
            <w:r>
              <w:rPr>
                <w:rFonts w:ascii="Arial" w:hAnsi="Arial" w:cs="Arial"/>
                <w:sz w:val="22"/>
              </w:rPr>
              <w:t>622.600,05</w:t>
            </w:r>
            <w:r w:rsidRPr="00F431D8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8521B1" w:rsidRPr="00790481" w:rsidTr="00986DAD">
        <w:trPr>
          <w:trHeight w:val="208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 w:rsidRPr="00790481">
              <w:rPr>
                <w:rFonts w:ascii="Arial" w:hAnsi="Arial" w:cs="Arial"/>
                <w:sz w:val="22"/>
              </w:rPr>
              <w:t xml:space="preserve">Residui </w:t>
            </w:r>
            <w:r>
              <w:rPr>
                <w:rFonts w:ascii="Arial" w:hAnsi="Arial" w:cs="Arial"/>
                <w:sz w:val="22"/>
              </w:rPr>
              <w:t>passivi conservati al 31/12/2023</w:t>
            </w:r>
            <w:r w:rsidRPr="00790481">
              <w:rPr>
                <w:rFonts w:ascii="Arial" w:hAnsi="Arial" w:cs="Arial"/>
                <w:sz w:val="22"/>
              </w:rPr>
              <w:t xml:space="preserve"> provenienti dalla gestione di competenza </w:t>
            </w:r>
          </w:p>
        </w:tc>
        <w:tc>
          <w:tcPr>
            <w:tcW w:w="1843" w:type="dxa"/>
          </w:tcPr>
          <w:p w:rsidR="008521B1" w:rsidRPr="004607D7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 w:rsidRPr="004607D7">
              <w:rPr>
                <w:rFonts w:ascii="Arial" w:hAnsi="Arial" w:cs="Arial"/>
                <w:sz w:val="22"/>
              </w:rPr>
              <w:t xml:space="preserve">€ 16.498.789,70 </w:t>
            </w:r>
          </w:p>
        </w:tc>
      </w:tr>
      <w:tr w:rsidR="008521B1" w:rsidRPr="00107521" w:rsidTr="00986DAD">
        <w:trPr>
          <w:trHeight w:val="93"/>
        </w:trPr>
        <w:tc>
          <w:tcPr>
            <w:tcW w:w="8222" w:type="dxa"/>
          </w:tcPr>
          <w:p w:rsidR="008521B1" w:rsidRPr="00F4027C" w:rsidRDefault="008521B1" w:rsidP="00986D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Residui attivi </w:t>
            </w:r>
            <w:proofErr w:type="spellStart"/>
            <w:r>
              <w:rPr>
                <w:rFonts w:ascii="Arial" w:hAnsi="Arial" w:cs="Arial"/>
                <w:sz w:val="22"/>
              </w:rPr>
              <w:t>reimputati</w:t>
            </w:r>
            <w:proofErr w:type="spellEnd"/>
            <w:r w:rsidRPr="00F4027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8521B1" w:rsidRPr="00107521" w:rsidRDefault="008521B1" w:rsidP="00986DAD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F4027C">
              <w:rPr>
                <w:rFonts w:ascii="Arial" w:hAnsi="Arial" w:cs="Arial"/>
                <w:color w:val="000000"/>
                <w:sz w:val="22"/>
              </w:rPr>
              <w:t>€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0,00 </w:t>
            </w:r>
          </w:p>
        </w:tc>
      </w:tr>
      <w:tr w:rsidR="008521B1" w:rsidRPr="00790481" w:rsidTr="00986DAD">
        <w:trPr>
          <w:trHeight w:val="93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Residui passivi </w:t>
            </w:r>
            <w:proofErr w:type="spellStart"/>
            <w:r>
              <w:rPr>
                <w:rFonts w:ascii="Arial" w:hAnsi="Arial" w:cs="Arial"/>
                <w:sz w:val="22"/>
              </w:rPr>
              <w:t>reimputati</w:t>
            </w:r>
            <w:proofErr w:type="spellEnd"/>
          </w:p>
        </w:tc>
        <w:tc>
          <w:tcPr>
            <w:tcW w:w="1843" w:type="dxa"/>
          </w:tcPr>
          <w:p w:rsidR="008521B1" w:rsidRPr="00790481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€ 0,00 </w:t>
            </w:r>
          </w:p>
        </w:tc>
      </w:tr>
      <w:tr w:rsidR="008521B1" w:rsidRPr="00790481" w:rsidTr="00986DAD">
        <w:trPr>
          <w:trHeight w:val="93"/>
        </w:trPr>
        <w:tc>
          <w:tcPr>
            <w:tcW w:w="8222" w:type="dxa"/>
          </w:tcPr>
          <w:p w:rsidR="008521B1" w:rsidRPr="00790481" w:rsidRDefault="008521B1" w:rsidP="00986D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Maggiori residui attivi riaccertati</w:t>
            </w:r>
          </w:p>
        </w:tc>
        <w:tc>
          <w:tcPr>
            <w:tcW w:w="1843" w:type="dxa"/>
          </w:tcPr>
          <w:p w:rsidR="008521B1" w:rsidRPr="00477059" w:rsidRDefault="008521B1" w:rsidP="00986DAD">
            <w:pPr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€ 2.794</w:t>
            </w:r>
            <w:r w:rsidRPr="00477059">
              <w:rPr>
                <w:rFonts w:ascii="Arial" w:hAnsi="Arial" w:cs="Arial"/>
                <w:sz w:val="22"/>
              </w:rPr>
              <w:t xml:space="preserve">,37 </w:t>
            </w:r>
          </w:p>
        </w:tc>
      </w:tr>
    </w:tbl>
    <w:p w:rsidR="008521B1" w:rsidRPr="00F93B34" w:rsidRDefault="008521B1" w:rsidP="008521B1">
      <w:pPr>
        <w:rPr>
          <w:rFonts w:ascii="Arial" w:hAnsi="Arial" w:cs="Arial"/>
          <w:sz w:val="20"/>
        </w:rPr>
      </w:pPr>
    </w:p>
    <w:p w:rsidR="008521B1" w:rsidRPr="00790481" w:rsidRDefault="008521B1" w:rsidP="008521B1">
      <w:pPr>
        <w:pStyle w:val="Paragrafoelenco"/>
        <w:spacing w:after="0" w:line="240" w:lineRule="auto"/>
        <w:ind w:left="426"/>
        <w:jc w:val="both"/>
        <w:rPr>
          <w:rFonts w:ascii="Arial" w:hAnsi="Arial" w:cs="Arial"/>
          <w:szCs w:val="22"/>
        </w:rPr>
      </w:pPr>
      <w:proofErr w:type="gramStart"/>
      <w:r w:rsidRPr="00790481">
        <w:rPr>
          <w:rFonts w:ascii="Arial" w:hAnsi="Arial" w:cs="Arial"/>
          <w:szCs w:val="22"/>
        </w:rPr>
        <w:t>che</w:t>
      </w:r>
      <w:proofErr w:type="gramEnd"/>
      <w:r w:rsidRPr="00790481">
        <w:rPr>
          <w:rFonts w:ascii="Arial" w:hAnsi="Arial" w:cs="Arial"/>
          <w:szCs w:val="22"/>
        </w:rPr>
        <w:t xml:space="preserve"> si allegano al presente provvedimento quale parte integrante e sostanziale (Allegati 1, 2, 3</w:t>
      </w:r>
      <w:r>
        <w:rPr>
          <w:rFonts w:ascii="Arial" w:hAnsi="Arial" w:cs="Arial"/>
          <w:szCs w:val="22"/>
        </w:rPr>
        <w:t>,4</w:t>
      </w:r>
      <w:r w:rsidRPr="00790481">
        <w:rPr>
          <w:rFonts w:ascii="Arial" w:hAnsi="Arial" w:cs="Arial"/>
          <w:szCs w:val="22"/>
        </w:rPr>
        <w:t>);</w:t>
      </w:r>
    </w:p>
    <w:p w:rsidR="008521B1" w:rsidRPr="004F56A5" w:rsidRDefault="008521B1" w:rsidP="008521B1">
      <w:pPr>
        <w:rPr>
          <w:rFonts w:ascii="Arial" w:hAnsi="Arial" w:cs="Arial"/>
        </w:rPr>
      </w:pPr>
    </w:p>
    <w:p w:rsidR="008521B1" w:rsidRPr="00790481" w:rsidRDefault="008521B1" w:rsidP="008521B1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790481">
        <w:rPr>
          <w:rFonts w:ascii="Arial" w:hAnsi="Arial" w:cs="Arial"/>
          <w:b/>
          <w:caps/>
          <w:szCs w:val="22"/>
        </w:rPr>
        <w:t>Di dare atto</w:t>
      </w:r>
      <w:r w:rsidRPr="00790481">
        <w:rPr>
          <w:rFonts w:ascii="Arial" w:hAnsi="Arial" w:cs="Arial"/>
          <w:b/>
          <w:szCs w:val="22"/>
        </w:rPr>
        <w:t xml:space="preserve"> </w:t>
      </w:r>
      <w:r w:rsidRPr="00790481">
        <w:rPr>
          <w:rFonts w:ascii="Arial" w:hAnsi="Arial" w:cs="Arial"/>
          <w:szCs w:val="22"/>
        </w:rPr>
        <w:t>che il saldo del C/C postale al 31/12/20</w:t>
      </w:r>
      <w:r>
        <w:rPr>
          <w:rFonts w:ascii="Arial" w:hAnsi="Arial" w:cs="Arial"/>
          <w:szCs w:val="22"/>
        </w:rPr>
        <w:t>23 (Allegato 6</w:t>
      </w:r>
      <w:r w:rsidRPr="00790481">
        <w:rPr>
          <w:rFonts w:ascii="Arial" w:hAnsi="Arial" w:cs="Arial"/>
          <w:szCs w:val="22"/>
        </w:rPr>
        <w:t xml:space="preserve">) ammonta ad </w:t>
      </w:r>
      <w:r>
        <w:rPr>
          <w:rFonts w:ascii="Arial" w:hAnsi="Arial" w:cs="Arial"/>
          <w:szCs w:val="22"/>
        </w:rPr>
        <w:br/>
        <w:t>€ 243.981,61</w:t>
      </w:r>
      <w:r w:rsidRPr="00790481">
        <w:rPr>
          <w:rFonts w:ascii="Arial" w:hAnsi="Arial" w:cs="Arial"/>
          <w:b/>
          <w:szCs w:val="22"/>
        </w:rPr>
        <w:t xml:space="preserve"> </w:t>
      </w:r>
      <w:r w:rsidRPr="00790481">
        <w:rPr>
          <w:rFonts w:ascii="Arial" w:hAnsi="Arial" w:cs="Arial"/>
          <w:szCs w:val="22"/>
        </w:rPr>
        <w:t>e trova allocazione nel bilancio finanziario tra i residui attivi in quanto trattasi di somme accertate ma non incassate al 31.12.20</w:t>
      </w:r>
      <w:r>
        <w:rPr>
          <w:rFonts w:ascii="Arial" w:hAnsi="Arial" w:cs="Arial"/>
          <w:szCs w:val="22"/>
        </w:rPr>
        <w:t>23</w:t>
      </w:r>
      <w:r w:rsidRPr="00790481">
        <w:rPr>
          <w:rFonts w:ascii="Arial" w:hAnsi="Arial" w:cs="Arial"/>
          <w:szCs w:val="22"/>
        </w:rPr>
        <w:t xml:space="preserve"> presso la tesoreria dell’Agenzia;</w:t>
      </w:r>
    </w:p>
    <w:p w:rsidR="008521B1" w:rsidRPr="00790481" w:rsidRDefault="008521B1" w:rsidP="008521B1">
      <w:pPr>
        <w:pStyle w:val="Paragrafoelenco"/>
        <w:spacing w:after="0" w:line="240" w:lineRule="auto"/>
        <w:ind w:left="426" w:hanging="426"/>
        <w:rPr>
          <w:rFonts w:ascii="Arial" w:hAnsi="Arial" w:cs="Arial"/>
          <w:szCs w:val="22"/>
        </w:rPr>
      </w:pPr>
    </w:p>
    <w:p w:rsidR="008521B1" w:rsidRPr="00790481" w:rsidRDefault="008521B1" w:rsidP="008521B1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790481">
        <w:rPr>
          <w:rFonts w:ascii="Arial" w:hAnsi="Arial" w:cs="Arial"/>
          <w:b/>
          <w:caps/>
          <w:szCs w:val="22"/>
        </w:rPr>
        <w:t xml:space="preserve">di DARE ATTO </w:t>
      </w:r>
      <w:r w:rsidRPr="00790481">
        <w:rPr>
          <w:rFonts w:ascii="Arial" w:hAnsi="Arial" w:cs="Arial"/>
          <w:szCs w:val="22"/>
        </w:rPr>
        <w:t>che le risultanze di cassa al 31/12/20</w:t>
      </w:r>
      <w:r>
        <w:rPr>
          <w:rFonts w:ascii="Arial" w:hAnsi="Arial" w:cs="Arial"/>
          <w:szCs w:val="22"/>
        </w:rPr>
        <w:t>23</w:t>
      </w:r>
      <w:r w:rsidRPr="00790481">
        <w:rPr>
          <w:rFonts w:ascii="Arial" w:hAnsi="Arial" w:cs="Arial"/>
          <w:szCs w:val="22"/>
        </w:rPr>
        <w:t xml:space="preserve"> presso il Tesoriere ammontano ad </w:t>
      </w:r>
      <w:r>
        <w:rPr>
          <w:rFonts w:ascii="Arial" w:hAnsi="Arial" w:cs="Arial"/>
          <w:szCs w:val="22"/>
        </w:rPr>
        <w:br/>
      </w:r>
      <w:r w:rsidRPr="009B361A">
        <w:rPr>
          <w:rFonts w:ascii="Arial" w:hAnsi="Arial" w:cs="Arial"/>
          <w:szCs w:val="22"/>
        </w:rPr>
        <w:t xml:space="preserve">€ </w:t>
      </w:r>
      <w:r w:rsidRPr="009B361A">
        <w:rPr>
          <w:rFonts w:ascii="Arial" w:hAnsi="Arial" w:cs="Arial"/>
          <w:bCs/>
          <w:szCs w:val="22"/>
        </w:rPr>
        <w:t>14.299.401,04</w:t>
      </w:r>
      <w:r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szCs w:val="22"/>
        </w:rPr>
        <w:t>(Allegato 7</w:t>
      </w:r>
      <w:r w:rsidRPr="00790481">
        <w:rPr>
          <w:rFonts w:ascii="Arial" w:hAnsi="Arial" w:cs="Arial"/>
          <w:szCs w:val="22"/>
        </w:rPr>
        <w:t>);</w:t>
      </w:r>
    </w:p>
    <w:p w:rsidR="008521B1" w:rsidRPr="00020501" w:rsidRDefault="008521B1" w:rsidP="008521B1">
      <w:pPr>
        <w:pStyle w:val="Paragrafoelenco"/>
        <w:keepLines/>
        <w:suppressAutoHyphens/>
        <w:spacing w:after="0" w:line="240" w:lineRule="auto"/>
        <w:ind w:left="426"/>
        <w:jc w:val="both"/>
        <w:rPr>
          <w:rFonts w:ascii="Arial" w:hAnsi="Arial" w:cs="Arial"/>
          <w:szCs w:val="22"/>
        </w:rPr>
      </w:pPr>
    </w:p>
    <w:p w:rsidR="008521B1" w:rsidRPr="00E56BE1" w:rsidRDefault="008521B1" w:rsidP="008521B1">
      <w:pPr>
        <w:pStyle w:val="Paragrafoelenco"/>
        <w:keepLines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E56BE1">
        <w:rPr>
          <w:rFonts w:ascii="Arial" w:hAnsi="Arial" w:cs="Arial"/>
          <w:b/>
          <w:iCs/>
          <w:szCs w:val="22"/>
        </w:rPr>
        <w:lastRenderedPageBreak/>
        <w:t>DI DARE ATTO</w:t>
      </w:r>
      <w:r w:rsidRPr="00E56BE1">
        <w:rPr>
          <w:rFonts w:ascii="Arial" w:hAnsi="Arial" w:cs="Arial"/>
          <w:iCs/>
          <w:szCs w:val="22"/>
        </w:rPr>
        <w:t xml:space="preserve"> che il trasferimento delle relative risorse a copertura degli impegni, esclude la costituzione del Fondo Pluriennale Vincolato in quanto le risorse </w:t>
      </w:r>
      <w:proofErr w:type="spellStart"/>
      <w:r w:rsidRPr="00E56BE1">
        <w:rPr>
          <w:rFonts w:ascii="Arial" w:hAnsi="Arial" w:cs="Arial"/>
          <w:iCs/>
          <w:szCs w:val="22"/>
        </w:rPr>
        <w:t>reimputate</w:t>
      </w:r>
      <w:proofErr w:type="spellEnd"/>
      <w:r w:rsidRPr="00E56BE1">
        <w:rPr>
          <w:rFonts w:ascii="Arial" w:hAnsi="Arial" w:cs="Arial"/>
          <w:iCs/>
          <w:szCs w:val="22"/>
        </w:rPr>
        <w:t xml:space="preserve"> in entrata superano nell’ammontare totale quelle in uscita, come da schede di determinazione del FPV totale (Allegati 6).</w:t>
      </w:r>
    </w:p>
    <w:p w:rsidR="008521B1" w:rsidRPr="00316811" w:rsidRDefault="008521B1" w:rsidP="008521B1">
      <w:pPr>
        <w:pStyle w:val="Paragrafoelenco"/>
        <w:spacing w:after="0" w:line="240" w:lineRule="auto"/>
        <w:rPr>
          <w:rFonts w:ascii="Arial" w:hAnsi="Arial" w:cs="Arial"/>
          <w:szCs w:val="22"/>
        </w:rPr>
      </w:pPr>
    </w:p>
    <w:p w:rsidR="008521B1" w:rsidRPr="00591DD6" w:rsidRDefault="008521B1" w:rsidP="008521B1">
      <w:pPr>
        <w:pStyle w:val="Paragrafoelenco"/>
        <w:keepLines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 xml:space="preserve">Di DARE ATTO </w:t>
      </w:r>
      <w:r>
        <w:rPr>
          <w:rFonts w:ascii="Arial" w:hAnsi="Arial" w:cs="Arial"/>
          <w:szCs w:val="22"/>
        </w:rPr>
        <w:t>che il presente atto diverrà esecutivo al momento della sottoscrizione.</w:t>
      </w:r>
    </w:p>
    <w:p w:rsidR="00E37A88" w:rsidRDefault="00E37A88">
      <w:bookmarkStart w:id="0" w:name="_GoBack"/>
      <w:bookmarkEnd w:id="0"/>
    </w:p>
    <w:sectPr w:rsidR="00E37A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DD65D3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452A3"/>
    <w:multiLevelType w:val="hybridMultilevel"/>
    <w:tmpl w:val="8D00E1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315BD"/>
    <w:multiLevelType w:val="hybridMultilevel"/>
    <w:tmpl w:val="DB281D6C"/>
    <w:lvl w:ilvl="0" w:tplc="DD6282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54D30"/>
    <w:multiLevelType w:val="multilevel"/>
    <w:tmpl w:val="67654D39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EE"/>
    <w:rsid w:val="00766C0D"/>
    <w:rsid w:val="008521B1"/>
    <w:rsid w:val="00E37A88"/>
    <w:rsid w:val="00E618EE"/>
    <w:rsid w:val="00FB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6C9FE-5ED1-4057-8138-3880AFBD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6FD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21B1"/>
    <w:pPr>
      <w:widowControl w:val="0"/>
      <w:autoSpaceDE w:val="0"/>
      <w:autoSpaceDN w:val="0"/>
      <w:adjustRightInd w:val="0"/>
      <w:spacing w:after="160" w:line="259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0"/>
      <w:lang w:eastAsia="it-IT"/>
    </w:rPr>
  </w:style>
  <w:style w:type="paragraph" w:customStyle="1" w:styleId="Default">
    <w:name w:val="Default"/>
    <w:rsid w:val="008521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521B1"/>
    <w:pPr>
      <w:widowControl w:val="0"/>
      <w:tabs>
        <w:tab w:val="left" w:pos="1300"/>
      </w:tabs>
      <w:autoSpaceDE w:val="0"/>
      <w:autoSpaceDN w:val="0"/>
      <w:adjustRightInd w:val="0"/>
      <w:jc w:val="center"/>
    </w:pPr>
    <w:rPr>
      <w:rFonts w:eastAsia="Times New Roman" w:cs="Times New Roman"/>
      <w:b/>
      <w:bCs/>
      <w:sz w:val="28"/>
      <w:szCs w:val="24"/>
      <w:lang w:val="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521B1"/>
    <w:rPr>
      <w:rFonts w:ascii="Times New Roman" w:eastAsia="Times New Roman" w:hAnsi="Times New Roman" w:cs="Times New Roman"/>
      <w:b/>
      <w:bCs/>
      <w:sz w:val="28"/>
      <w:szCs w:val="24"/>
      <w:lang w:val="" w:eastAsia="it-IT"/>
    </w:rPr>
  </w:style>
  <w:style w:type="character" w:styleId="Enfasicorsivo">
    <w:name w:val="Emphasis"/>
    <w:uiPriority w:val="20"/>
    <w:qFormat/>
    <w:rsid w:val="008521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zzettaufficiale.it/eli/id/2023/08/04/23A04428/s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2152</Words>
  <Characters>12267</Characters>
  <Application>Microsoft Office Word</Application>
  <DocSecurity>0</DocSecurity>
  <Lines>102</Lines>
  <Paragraphs>28</Paragraphs>
  <ScaleCrop>false</ScaleCrop>
  <Company/>
  <LinksUpToDate>false</LinksUpToDate>
  <CharactersWithSpaces>14391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Piovani</dc:creator>
  <cp:lastModifiedBy>Denise Pasqualone</cp:lastModifiedBy>
  <cp:revision>3</cp:revision>
  <dcterms:created xsi:type="dcterms:W3CDTF">2016-07-20T07:40:00Z</dcterms:created>
  <dcterms:modified xsi:type="dcterms:W3CDTF">2024-05-17T10:57:00Z</dcterms:modified>
</cp:coreProperties>
</file>